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280" w:rsidRPr="00712280" w:rsidRDefault="00712280" w:rsidP="00712280">
      <w:pPr>
        <w:suppressAutoHyphens/>
        <w:spacing w:after="0" w:line="240" w:lineRule="auto"/>
        <w:jc w:val="center"/>
        <w:rPr>
          <w:rFonts w:ascii="Calibri" w:hAnsi="Calibri"/>
          <w:bCs/>
          <w:spacing w:val="-3"/>
          <w:sz w:val="32"/>
        </w:rPr>
      </w:pPr>
      <w:r w:rsidRPr="00712280">
        <w:rPr>
          <w:rFonts w:ascii="Calibri" w:hAnsi="Calibri"/>
          <w:bCs/>
          <w:spacing w:val="-3"/>
          <w:sz w:val="32"/>
        </w:rPr>
        <w:t xml:space="preserve">Ceramic membrane application in recovery and recycling of </w:t>
      </w:r>
    </w:p>
    <w:p w:rsidR="00712280" w:rsidRPr="00712280" w:rsidRDefault="00712280" w:rsidP="00712280">
      <w:pPr>
        <w:suppressAutoHyphens/>
        <w:spacing w:after="0" w:line="240" w:lineRule="auto"/>
        <w:jc w:val="center"/>
        <w:rPr>
          <w:rFonts w:ascii="Calibri" w:hAnsi="Calibri"/>
          <w:bCs/>
          <w:spacing w:val="-3"/>
          <w:sz w:val="32"/>
        </w:rPr>
      </w:pPr>
      <w:proofErr w:type="gramStart"/>
      <w:r w:rsidRPr="00712280">
        <w:rPr>
          <w:rFonts w:ascii="Calibri" w:hAnsi="Calibri"/>
          <w:bCs/>
          <w:spacing w:val="-3"/>
          <w:sz w:val="32"/>
        </w:rPr>
        <w:t>water</w:t>
      </w:r>
      <w:proofErr w:type="gramEnd"/>
      <w:r w:rsidRPr="00712280">
        <w:rPr>
          <w:rFonts w:ascii="Calibri" w:hAnsi="Calibri"/>
          <w:bCs/>
          <w:spacing w:val="-3"/>
          <w:sz w:val="32"/>
        </w:rPr>
        <w:t xml:space="preserve"> in in-situ oil sands operations</w:t>
      </w:r>
    </w:p>
    <w:p w:rsidR="00B25570" w:rsidRDefault="00B25570"/>
    <w:p w:rsidR="00763B86" w:rsidRPr="00712280" w:rsidRDefault="00763B86" w:rsidP="00763B86">
      <w:pPr>
        <w:spacing w:after="0" w:line="240" w:lineRule="auto"/>
        <w:jc w:val="center"/>
        <w:rPr>
          <w:rFonts w:ascii="Arial" w:hAnsi="Arial" w:cs="Arial"/>
          <w:sz w:val="16"/>
        </w:rPr>
      </w:pPr>
      <w:r w:rsidRPr="00712280">
        <w:rPr>
          <w:rFonts w:ascii="Arial" w:hAnsi="Arial" w:cs="Arial"/>
          <w:sz w:val="16"/>
        </w:rPr>
        <w:t>Saviz Mortazavi</w:t>
      </w:r>
      <w:r w:rsidRPr="00712280">
        <w:rPr>
          <w:rFonts w:ascii="Arial" w:hAnsi="Arial" w:cs="Arial"/>
          <w:sz w:val="16"/>
          <w:vertAlign w:val="superscript"/>
        </w:rPr>
        <w:t>1,*</w:t>
      </w:r>
      <w:r w:rsidRPr="00712280">
        <w:rPr>
          <w:rFonts w:ascii="Arial" w:hAnsi="Arial" w:cs="Arial"/>
          <w:sz w:val="16"/>
        </w:rPr>
        <w:t>, André Y. Tremblay</w:t>
      </w:r>
      <w:r w:rsidRPr="00712280">
        <w:rPr>
          <w:rFonts w:ascii="Arial" w:hAnsi="Arial" w:cs="Arial"/>
          <w:sz w:val="16"/>
          <w:vertAlign w:val="superscript"/>
        </w:rPr>
        <w:t>2</w:t>
      </w:r>
      <w:r w:rsidRPr="00712280">
        <w:rPr>
          <w:rFonts w:ascii="Arial" w:hAnsi="Arial" w:cs="Arial"/>
          <w:sz w:val="16"/>
        </w:rPr>
        <w:t>, Charbel Atallah</w:t>
      </w:r>
      <w:r w:rsidRPr="00712280">
        <w:rPr>
          <w:rFonts w:ascii="Arial" w:hAnsi="Arial" w:cs="Arial"/>
          <w:sz w:val="16"/>
          <w:vertAlign w:val="superscript"/>
        </w:rPr>
        <w:t>2</w:t>
      </w:r>
      <w:r w:rsidRPr="00712280">
        <w:rPr>
          <w:rFonts w:ascii="Arial" w:hAnsi="Arial" w:cs="Arial"/>
          <w:sz w:val="16"/>
        </w:rPr>
        <w:t xml:space="preserve">, </w:t>
      </w:r>
    </w:p>
    <w:p w:rsidR="00763B86" w:rsidRPr="00712280" w:rsidRDefault="00763B86" w:rsidP="00763B86">
      <w:pPr>
        <w:spacing w:after="0" w:line="240" w:lineRule="auto"/>
        <w:jc w:val="center"/>
        <w:rPr>
          <w:rFonts w:ascii="Arial" w:hAnsi="Arial" w:cs="Arial"/>
          <w:sz w:val="16"/>
          <w:vertAlign w:val="superscript"/>
        </w:rPr>
      </w:pPr>
      <w:r w:rsidRPr="00712280">
        <w:rPr>
          <w:rFonts w:ascii="Arial" w:hAnsi="Arial" w:cs="Arial"/>
          <w:sz w:val="16"/>
        </w:rPr>
        <w:t>Alex Doiron</w:t>
      </w:r>
      <w:r w:rsidRPr="00712280">
        <w:rPr>
          <w:rFonts w:ascii="Arial" w:hAnsi="Arial" w:cs="Arial"/>
          <w:sz w:val="16"/>
          <w:vertAlign w:val="superscript"/>
        </w:rPr>
        <w:t>1</w:t>
      </w:r>
      <w:r w:rsidRPr="00712280">
        <w:rPr>
          <w:rFonts w:ascii="Arial" w:hAnsi="Arial" w:cs="Arial"/>
          <w:sz w:val="16"/>
        </w:rPr>
        <w:t>,</w:t>
      </w:r>
      <w:r w:rsidRPr="00712280">
        <w:rPr>
          <w:rFonts w:ascii="Arial" w:hAnsi="Arial" w:cs="Arial"/>
          <w:sz w:val="16"/>
        </w:rPr>
        <w:t xml:space="preserve"> </w:t>
      </w:r>
      <w:r w:rsidRPr="00712280">
        <w:rPr>
          <w:rFonts w:ascii="Arial" w:hAnsi="Arial" w:cs="Arial"/>
          <w:sz w:val="16"/>
        </w:rPr>
        <w:t>Matthew Hudder</w:t>
      </w:r>
      <w:r w:rsidRPr="00712280">
        <w:rPr>
          <w:rFonts w:ascii="Arial" w:hAnsi="Arial" w:cs="Arial"/>
          <w:sz w:val="16"/>
          <w:vertAlign w:val="superscript"/>
        </w:rPr>
        <w:t xml:space="preserve"> </w:t>
      </w:r>
      <w:r w:rsidRPr="00712280">
        <w:rPr>
          <w:rFonts w:ascii="Arial" w:hAnsi="Arial" w:cs="Arial"/>
          <w:color w:val="000000" w:themeColor="text1"/>
          <w:sz w:val="16"/>
          <w:vertAlign w:val="superscript"/>
        </w:rPr>
        <w:t>3</w:t>
      </w:r>
    </w:p>
    <w:p w:rsidR="00763B86" w:rsidRPr="002913FD" w:rsidRDefault="00763B86" w:rsidP="00763B86">
      <w:pPr>
        <w:spacing w:after="0" w:line="240" w:lineRule="auto"/>
        <w:jc w:val="center"/>
        <w:rPr>
          <w:rFonts w:ascii="Arial" w:hAnsi="Arial" w:cs="Arial"/>
          <w:vertAlign w:val="superscript"/>
        </w:rPr>
      </w:pPr>
    </w:p>
    <w:p w:rsidR="00763B86" w:rsidRPr="00712280" w:rsidRDefault="00763B86" w:rsidP="00763B86">
      <w:pPr>
        <w:pStyle w:val="ListParagraph"/>
        <w:numPr>
          <w:ilvl w:val="0"/>
          <w:numId w:val="1"/>
        </w:numPr>
        <w:spacing w:line="240" w:lineRule="auto"/>
        <w:rPr>
          <w:rFonts w:ascii="Arial" w:hAnsi="Arial" w:cs="Arial"/>
          <w:sz w:val="14"/>
        </w:rPr>
      </w:pPr>
      <w:r w:rsidRPr="00712280">
        <w:rPr>
          <w:rFonts w:ascii="Arial" w:hAnsi="Arial" w:cs="Arial"/>
          <w:sz w:val="14"/>
        </w:rPr>
        <w:t xml:space="preserve">Natural Resources Canada, </w:t>
      </w:r>
      <w:proofErr w:type="spellStart"/>
      <w:r w:rsidRPr="00712280">
        <w:rPr>
          <w:rFonts w:ascii="Arial" w:hAnsi="Arial" w:cs="Arial"/>
          <w:sz w:val="14"/>
        </w:rPr>
        <w:t>CanmetMINING</w:t>
      </w:r>
      <w:proofErr w:type="spellEnd"/>
      <w:r w:rsidRPr="00712280">
        <w:rPr>
          <w:rFonts w:ascii="Arial" w:hAnsi="Arial" w:cs="Arial"/>
          <w:sz w:val="14"/>
        </w:rPr>
        <w:t>, 555 Booth Street, Ottawa, Ontario, Canada</w:t>
      </w:r>
    </w:p>
    <w:p w:rsidR="00763B86" w:rsidRPr="00712280" w:rsidRDefault="00763B86" w:rsidP="00763B86">
      <w:pPr>
        <w:pStyle w:val="ListParagraph"/>
        <w:numPr>
          <w:ilvl w:val="0"/>
          <w:numId w:val="1"/>
        </w:numPr>
        <w:spacing w:line="240" w:lineRule="auto"/>
        <w:rPr>
          <w:rFonts w:ascii="Arial" w:hAnsi="Arial" w:cs="Arial"/>
          <w:sz w:val="14"/>
        </w:rPr>
      </w:pPr>
      <w:r w:rsidRPr="00712280">
        <w:rPr>
          <w:rFonts w:ascii="Arial" w:hAnsi="Arial" w:cs="Arial"/>
          <w:sz w:val="14"/>
        </w:rPr>
        <w:t xml:space="preserve">University of Ottawa, Department of Chemical and Biological Engineering, 161 Louis Pasteur, Ottawa, Ontario, Canada, </w:t>
      </w:r>
    </w:p>
    <w:p w:rsidR="00763B86" w:rsidRPr="00712280" w:rsidRDefault="00763B86" w:rsidP="00763B86">
      <w:pPr>
        <w:pStyle w:val="ListParagraph"/>
        <w:numPr>
          <w:ilvl w:val="0"/>
          <w:numId w:val="1"/>
        </w:numPr>
        <w:spacing w:line="240" w:lineRule="auto"/>
        <w:rPr>
          <w:rFonts w:ascii="Arial" w:hAnsi="Arial" w:cs="Arial"/>
          <w:sz w:val="14"/>
          <w:lang w:val="fr-CA"/>
        </w:rPr>
      </w:pPr>
      <w:proofErr w:type="spellStart"/>
      <w:r w:rsidRPr="00712280">
        <w:rPr>
          <w:rFonts w:ascii="Arial" w:hAnsi="Arial" w:cs="Arial"/>
          <w:sz w:val="14"/>
          <w:lang w:val="fr-CA"/>
        </w:rPr>
        <w:t>KmX</w:t>
      </w:r>
      <w:proofErr w:type="spellEnd"/>
      <w:r w:rsidRPr="00712280">
        <w:rPr>
          <w:rFonts w:ascii="Arial" w:hAnsi="Arial" w:cs="Arial"/>
          <w:sz w:val="14"/>
          <w:lang w:val="fr-CA"/>
        </w:rPr>
        <w:t xml:space="preserve"> Membrane Technologies, Oakville, ON, Canada</w:t>
      </w:r>
    </w:p>
    <w:p w:rsidR="00763B86" w:rsidRPr="009E7442" w:rsidRDefault="00763B86" w:rsidP="00763B86">
      <w:pPr>
        <w:spacing w:after="0" w:line="240" w:lineRule="auto"/>
        <w:ind w:left="360"/>
        <w:rPr>
          <w:rFonts w:ascii="Arial" w:hAnsi="Arial" w:cs="Arial"/>
          <w:sz w:val="16"/>
        </w:rPr>
      </w:pPr>
      <w:r w:rsidRPr="009E7442">
        <w:rPr>
          <w:rFonts w:ascii="Arial" w:hAnsi="Arial" w:cs="Arial"/>
          <w:sz w:val="16"/>
        </w:rPr>
        <w:t xml:space="preserve">*Corresponding Author: Dr. Saviz Mortazavi, Natural Resources Canada, </w:t>
      </w:r>
      <w:proofErr w:type="spellStart"/>
      <w:r w:rsidRPr="009E7442">
        <w:rPr>
          <w:rFonts w:ascii="Arial" w:hAnsi="Arial" w:cs="Arial"/>
          <w:sz w:val="16"/>
        </w:rPr>
        <w:t>CanmetMINING</w:t>
      </w:r>
      <w:proofErr w:type="spellEnd"/>
      <w:r w:rsidRPr="009E7442">
        <w:rPr>
          <w:rFonts w:ascii="Arial" w:hAnsi="Arial" w:cs="Arial"/>
          <w:sz w:val="16"/>
        </w:rPr>
        <w:t xml:space="preserve">, 555 Booth Street, Ottawa, ON, K1A 0G1; Email: </w:t>
      </w:r>
      <w:hyperlink r:id="rId5" w:history="1">
        <w:r w:rsidRPr="00CF5F51">
          <w:rPr>
            <w:rStyle w:val="Hyperlink"/>
            <w:rFonts w:ascii="Arial" w:hAnsi="Arial" w:cs="Arial"/>
            <w:sz w:val="16"/>
          </w:rPr>
          <w:t>saviz.mortazavi@canada.ca</w:t>
        </w:r>
      </w:hyperlink>
      <w:r w:rsidRPr="009E7442">
        <w:rPr>
          <w:rFonts w:ascii="Arial" w:hAnsi="Arial" w:cs="Arial"/>
          <w:sz w:val="16"/>
        </w:rPr>
        <w:t>; Tel: (613) 992-4555</w:t>
      </w:r>
    </w:p>
    <w:p w:rsidR="00763B86" w:rsidRDefault="00763B86"/>
    <w:p w:rsidR="00033217" w:rsidRDefault="00763B86" w:rsidP="00763B86">
      <w:pPr>
        <w:tabs>
          <w:tab w:val="left" w:pos="-720"/>
        </w:tabs>
        <w:suppressAutoHyphens/>
        <w:spacing w:before="20"/>
        <w:jc w:val="both"/>
        <w:rPr>
          <w:rFonts w:ascii="Calibri" w:hAnsi="Calibri"/>
          <w:spacing w:val="-3"/>
          <w:sz w:val="20"/>
        </w:rPr>
      </w:pPr>
      <w:r>
        <w:rPr>
          <w:rFonts w:ascii="Calibri" w:hAnsi="Calibri"/>
          <w:spacing w:val="-3"/>
          <w:sz w:val="20"/>
        </w:rPr>
        <w:tab/>
      </w:r>
      <w:r w:rsidRPr="00FE429E">
        <w:rPr>
          <w:rFonts w:ascii="Calibri" w:hAnsi="Calibri"/>
          <w:spacing w:val="-3"/>
          <w:sz w:val="20"/>
        </w:rPr>
        <w:t>The Canadian oil sands</w:t>
      </w:r>
      <w:r>
        <w:rPr>
          <w:rFonts w:ascii="Calibri" w:hAnsi="Calibri"/>
          <w:spacing w:val="-3"/>
          <w:sz w:val="20"/>
        </w:rPr>
        <w:t xml:space="preserve"> reserves</w:t>
      </w:r>
      <w:r w:rsidRPr="00FE429E">
        <w:rPr>
          <w:rFonts w:ascii="Calibri" w:hAnsi="Calibri"/>
          <w:spacing w:val="-3"/>
          <w:sz w:val="20"/>
        </w:rPr>
        <w:t xml:space="preserve">, located in Alberta, represent the third largest oil reserves </w:t>
      </w:r>
      <w:r>
        <w:rPr>
          <w:rFonts w:ascii="Calibri" w:hAnsi="Calibri"/>
          <w:spacing w:val="-3"/>
          <w:sz w:val="20"/>
        </w:rPr>
        <w:t xml:space="preserve">in the world; </w:t>
      </w:r>
      <w:r w:rsidRPr="00FE429E">
        <w:rPr>
          <w:rFonts w:ascii="Calibri" w:hAnsi="Calibri"/>
          <w:spacing w:val="-3"/>
          <w:sz w:val="20"/>
        </w:rPr>
        <w:t>however</w:t>
      </w:r>
      <w:r w:rsidRPr="00FE429E">
        <w:rPr>
          <w:rFonts w:ascii="Calibri" w:hAnsi="Calibri"/>
          <w:spacing w:val="-3"/>
          <w:sz w:val="20"/>
        </w:rPr>
        <w:t xml:space="preserve">, only 18% of </w:t>
      </w:r>
      <w:r>
        <w:rPr>
          <w:rFonts w:ascii="Calibri" w:hAnsi="Calibri"/>
          <w:spacing w:val="-3"/>
          <w:sz w:val="20"/>
        </w:rPr>
        <w:t>the oil sands</w:t>
      </w:r>
      <w:r w:rsidRPr="00FE429E">
        <w:rPr>
          <w:rFonts w:ascii="Calibri" w:hAnsi="Calibri"/>
          <w:spacing w:val="-3"/>
          <w:sz w:val="20"/>
        </w:rPr>
        <w:t xml:space="preserve"> deposits are recoverable by conventional extraction technologies. Steam-Assisted Gravity Drainage (SAGD) is the leading in-situ production </w:t>
      </w:r>
      <w:r w:rsidR="00C1798F" w:rsidRPr="00FE429E">
        <w:rPr>
          <w:rFonts w:ascii="Calibri" w:hAnsi="Calibri"/>
          <w:spacing w:val="-3"/>
          <w:sz w:val="20"/>
        </w:rPr>
        <w:t>technology, which</w:t>
      </w:r>
      <w:r w:rsidRPr="00FE429E">
        <w:rPr>
          <w:rFonts w:ascii="Calibri" w:hAnsi="Calibri"/>
          <w:spacing w:val="-3"/>
          <w:sz w:val="20"/>
        </w:rPr>
        <w:t xml:space="preserve"> is very energy and water intensive</w:t>
      </w:r>
      <w:r>
        <w:rPr>
          <w:rFonts w:ascii="Calibri" w:hAnsi="Calibri"/>
          <w:spacing w:val="-3"/>
          <w:sz w:val="20"/>
        </w:rPr>
        <w:t xml:space="preserve"> and generates significant volumes of produced water</w:t>
      </w:r>
      <w:r w:rsidRPr="00FE429E">
        <w:rPr>
          <w:rFonts w:ascii="Calibri" w:hAnsi="Calibri"/>
          <w:spacing w:val="-3"/>
          <w:sz w:val="20"/>
        </w:rPr>
        <w:t xml:space="preserve">. The SAGD produced water streams require significant de-oiling and treatment before they can be recycled.  </w:t>
      </w:r>
      <w:r w:rsidRPr="00A67856">
        <w:rPr>
          <w:rFonts w:ascii="Calibri" w:hAnsi="Calibri"/>
          <w:spacing w:val="-3"/>
          <w:sz w:val="20"/>
        </w:rPr>
        <w:t>With the increasing pressure on natural resource companies</w:t>
      </w:r>
      <w:r>
        <w:rPr>
          <w:rFonts w:ascii="Calibri" w:hAnsi="Calibri"/>
          <w:spacing w:val="-3"/>
          <w:sz w:val="20"/>
        </w:rPr>
        <w:t xml:space="preserve"> to reduce fresh water use, increase recycling of water and minimize waste, membrane separation technology </w:t>
      </w:r>
      <w:proofErr w:type="gramStart"/>
      <w:r>
        <w:rPr>
          <w:rFonts w:ascii="Calibri" w:hAnsi="Calibri"/>
          <w:spacing w:val="-3"/>
          <w:sz w:val="20"/>
        </w:rPr>
        <w:t>has been proven</w:t>
      </w:r>
      <w:proofErr w:type="gramEnd"/>
      <w:r>
        <w:rPr>
          <w:rFonts w:ascii="Calibri" w:hAnsi="Calibri"/>
          <w:spacing w:val="-3"/>
          <w:sz w:val="20"/>
        </w:rPr>
        <w:t xml:space="preserve"> </w:t>
      </w:r>
      <w:r w:rsidR="00033217">
        <w:rPr>
          <w:rFonts w:ascii="Calibri" w:hAnsi="Calibri"/>
          <w:spacing w:val="-3"/>
          <w:sz w:val="20"/>
        </w:rPr>
        <w:t xml:space="preserve">as an effective method </w:t>
      </w:r>
      <w:r>
        <w:rPr>
          <w:rFonts w:ascii="Calibri" w:hAnsi="Calibri"/>
          <w:spacing w:val="-3"/>
          <w:sz w:val="20"/>
        </w:rPr>
        <w:t xml:space="preserve">to exceed water quality performance standards compared to conventional water treatment technologies. </w:t>
      </w:r>
    </w:p>
    <w:p w:rsidR="00763B86" w:rsidRPr="00FE429E" w:rsidRDefault="00033217" w:rsidP="00763B86">
      <w:pPr>
        <w:tabs>
          <w:tab w:val="left" w:pos="-720"/>
        </w:tabs>
        <w:suppressAutoHyphens/>
        <w:spacing w:before="20"/>
        <w:jc w:val="both"/>
        <w:rPr>
          <w:rFonts w:ascii="Calibri" w:hAnsi="Calibri"/>
          <w:spacing w:val="-3"/>
          <w:sz w:val="20"/>
        </w:rPr>
      </w:pPr>
      <w:r>
        <w:rPr>
          <w:rFonts w:ascii="Calibri" w:hAnsi="Calibri"/>
          <w:spacing w:val="-3"/>
          <w:sz w:val="20"/>
        </w:rPr>
        <w:tab/>
        <w:t xml:space="preserve">Application of ceramic micro- and ultrafiltration membranes has shown limited success in treating SAGD produced water </w:t>
      </w:r>
      <w:proofErr w:type="gramStart"/>
      <w:r>
        <w:rPr>
          <w:rFonts w:ascii="Calibri" w:hAnsi="Calibri"/>
          <w:spacing w:val="-3"/>
          <w:sz w:val="20"/>
        </w:rPr>
        <w:t>streams,</w:t>
      </w:r>
      <w:proofErr w:type="gramEnd"/>
      <w:r>
        <w:rPr>
          <w:rFonts w:ascii="Calibri" w:hAnsi="Calibri"/>
          <w:spacing w:val="-3"/>
          <w:sz w:val="20"/>
        </w:rPr>
        <w:t xml:space="preserve"> however, membrane fouling remains a significant challenge. </w:t>
      </w:r>
      <w:r w:rsidR="00A313EA" w:rsidRPr="00FE429E">
        <w:rPr>
          <w:rFonts w:ascii="Calibri" w:hAnsi="Calibri"/>
          <w:spacing w:val="-3"/>
          <w:sz w:val="20"/>
        </w:rPr>
        <w:t xml:space="preserve">The presence of bituminous </w:t>
      </w:r>
      <w:proofErr w:type="spellStart"/>
      <w:r w:rsidR="00A313EA" w:rsidRPr="00FE429E">
        <w:rPr>
          <w:rFonts w:ascii="Calibri" w:hAnsi="Calibri"/>
          <w:spacing w:val="-3"/>
          <w:sz w:val="20"/>
        </w:rPr>
        <w:t>foulants</w:t>
      </w:r>
      <w:proofErr w:type="spellEnd"/>
      <w:r w:rsidR="00A313EA" w:rsidRPr="00FE429E">
        <w:rPr>
          <w:rFonts w:ascii="Calibri" w:hAnsi="Calibri"/>
          <w:spacing w:val="-3"/>
          <w:sz w:val="20"/>
        </w:rPr>
        <w:t xml:space="preserve"> such as </w:t>
      </w:r>
      <w:proofErr w:type="spellStart"/>
      <w:r w:rsidR="00A313EA" w:rsidRPr="00FE429E">
        <w:rPr>
          <w:rFonts w:ascii="Calibri" w:hAnsi="Calibri"/>
          <w:spacing w:val="-3"/>
          <w:sz w:val="20"/>
        </w:rPr>
        <w:t>asphaltenes</w:t>
      </w:r>
      <w:proofErr w:type="spellEnd"/>
      <w:r w:rsidR="00A313EA" w:rsidRPr="00FE429E">
        <w:rPr>
          <w:rFonts w:ascii="Calibri" w:hAnsi="Calibri"/>
          <w:spacing w:val="-3"/>
          <w:sz w:val="20"/>
        </w:rPr>
        <w:t xml:space="preserve"> can result in significant membrane fouling and drop in permeate flux, rendering the process uneconomical</w:t>
      </w:r>
      <w:r w:rsidR="00A313EA">
        <w:rPr>
          <w:rFonts w:ascii="Calibri" w:hAnsi="Calibri"/>
          <w:spacing w:val="-3"/>
          <w:sz w:val="20"/>
        </w:rPr>
        <w:t xml:space="preserve">. </w:t>
      </w:r>
      <w:r w:rsidR="00763B86" w:rsidRPr="00FE429E">
        <w:rPr>
          <w:rFonts w:ascii="Calibri" w:hAnsi="Calibri"/>
          <w:spacing w:val="-3"/>
          <w:sz w:val="20"/>
        </w:rPr>
        <w:t xml:space="preserve">Due to the viscous nature of the oil present in the produced water, it is advantageous to treat </w:t>
      </w:r>
      <w:r w:rsidR="00763B86">
        <w:rPr>
          <w:rFonts w:ascii="Calibri" w:hAnsi="Calibri"/>
          <w:spacing w:val="-3"/>
          <w:sz w:val="20"/>
        </w:rPr>
        <w:t>SAGD produced water</w:t>
      </w:r>
      <w:r w:rsidR="00763B86" w:rsidRPr="00FE429E">
        <w:rPr>
          <w:rFonts w:ascii="Calibri" w:hAnsi="Calibri"/>
          <w:spacing w:val="-3"/>
          <w:sz w:val="20"/>
        </w:rPr>
        <w:t xml:space="preserve"> streams at elevated temperatures</w:t>
      </w:r>
      <w:r w:rsidR="00A313EA">
        <w:rPr>
          <w:rFonts w:ascii="Calibri" w:hAnsi="Calibri"/>
          <w:spacing w:val="-3"/>
          <w:sz w:val="20"/>
        </w:rPr>
        <w:t xml:space="preserve"> with surface modified ceramic membranes</w:t>
      </w:r>
      <w:r w:rsidR="00763B86" w:rsidRPr="00FE429E">
        <w:rPr>
          <w:rFonts w:ascii="Calibri" w:hAnsi="Calibri"/>
          <w:spacing w:val="-3"/>
          <w:sz w:val="20"/>
        </w:rPr>
        <w:t xml:space="preserve">. To mitigate fouling of ceramic membrane, the membrane surface </w:t>
      </w:r>
      <w:proofErr w:type="gramStart"/>
      <w:r w:rsidR="00763B86" w:rsidRPr="00FE429E">
        <w:rPr>
          <w:rFonts w:ascii="Calibri" w:hAnsi="Calibri"/>
          <w:spacing w:val="-3"/>
          <w:sz w:val="20"/>
        </w:rPr>
        <w:t>can be chemically modified</w:t>
      </w:r>
      <w:proofErr w:type="gramEnd"/>
      <w:r w:rsidR="00763B86" w:rsidRPr="00FE429E">
        <w:rPr>
          <w:rFonts w:ascii="Calibri" w:hAnsi="Calibri"/>
          <w:spacing w:val="-3"/>
          <w:sz w:val="20"/>
        </w:rPr>
        <w:t xml:space="preserve"> to </w:t>
      </w:r>
      <w:r w:rsidR="009729C0" w:rsidRPr="00FE429E">
        <w:rPr>
          <w:rFonts w:ascii="Calibri" w:hAnsi="Calibri"/>
          <w:spacing w:val="-3"/>
          <w:sz w:val="20"/>
        </w:rPr>
        <w:t>reduce</w:t>
      </w:r>
      <w:r w:rsidR="00763B86" w:rsidRPr="00FE429E">
        <w:rPr>
          <w:rFonts w:ascii="Calibri" w:hAnsi="Calibri"/>
          <w:spacing w:val="-3"/>
          <w:sz w:val="20"/>
        </w:rPr>
        <w:t xml:space="preserve"> its electrostatic charge and cap reactive functional groups such as hydroxyl groups. </w:t>
      </w:r>
    </w:p>
    <w:p w:rsidR="00763B86" w:rsidRPr="00FE429E" w:rsidRDefault="00763B86" w:rsidP="00763B86">
      <w:pPr>
        <w:tabs>
          <w:tab w:val="left" w:pos="-720"/>
        </w:tabs>
        <w:suppressAutoHyphens/>
        <w:spacing w:before="20"/>
        <w:jc w:val="both"/>
        <w:rPr>
          <w:rFonts w:ascii="Calibri" w:hAnsi="Calibri"/>
          <w:spacing w:val="-3"/>
          <w:sz w:val="20"/>
        </w:rPr>
      </w:pPr>
      <w:r>
        <w:rPr>
          <w:rFonts w:ascii="Calibri" w:hAnsi="Calibri"/>
          <w:spacing w:val="-3"/>
          <w:sz w:val="20"/>
        </w:rPr>
        <w:tab/>
      </w:r>
      <w:r w:rsidRPr="00FE429E">
        <w:rPr>
          <w:rFonts w:ascii="Calibri" w:hAnsi="Calibri"/>
          <w:spacing w:val="-3"/>
          <w:sz w:val="20"/>
        </w:rPr>
        <w:t xml:space="preserve">The aim of this work was to </w:t>
      </w:r>
      <w:r w:rsidR="009729C0">
        <w:rPr>
          <w:rFonts w:ascii="Calibri" w:hAnsi="Calibri"/>
          <w:spacing w:val="-3"/>
          <w:sz w:val="20"/>
        </w:rPr>
        <w:t xml:space="preserve">evaluate a number </w:t>
      </w:r>
      <w:proofErr w:type="gramStart"/>
      <w:r w:rsidR="009729C0">
        <w:rPr>
          <w:rFonts w:ascii="Calibri" w:hAnsi="Calibri"/>
          <w:spacing w:val="-3"/>
          <w:sz w:val="20"/>
        </w:rPr>
        <w:t xml:space="preserve">of  </w:t>
      </w:r>
      <w:r w:rsidRPr="00FE429E">
        <w:rPr>
          <w:rFonts w:ascii="Calibri" w:hAnsi="Calibri"/>
          <w:spacing w:val="-3"/>
          <w:sz w:val="20"/>
        </w:rPr>
        <w:t>surface</w:t>
      </w:r>
      <w:proofErr w:type="gramEnd"/>
      <w:r w:rsidRPr="00FE429E">
        <w:rPr>
          <w:rFonts w:ascii="Calibri" w:hAnsi="Calibri"/>
          <w:spacing w:val="-3"/>
          <w:sz w:val="20"/>
        </w:rPr>
        <w:t xml:space="preserve"> modification protocols</w:t>
      </w:r>
      <w:r w:rsidR="009729C0">
        <w:rPr>
          <w:rFonts w:ascii="Calibri" w:hAnsi="Calibri"/>
          <w:spacing w:val="-3"/>
          <w:sz w:val="20"/>
        </w:rPr>
        <w:t>, previously tested in ceramic membrane discs</w:t>
      </w:r>
      <w:r w:rsidR="008641BF">
        <w:rPr>
          <w:rFonts w:ascii="Calibri" w:hAnsi="Calibri"/>
          <w:spacing w:val="-3"/>
          <w:sz w:val="20"/>
        </w:rPr>
        <w:t>,</w:t>
      </w:r>
      <w:bookmarkStart w:id="0" w:name="_GoBack"/>
      <w:bookmarkEnd w:id="0"/>
      <w:r w:rsidRPr="00FE429E">
        <w:rPr>
          <w:rFonts w:ascii="Calibri" w:hAnsi="Calibri"/>
          <w:spacing w:val="-3"/>
          <w:sz w:val="20"/>
        </w:rPr>
        <w:t xml:space="preserve"> </w:t>
      </w:r>
      <w:r w:rsidR="009729C0">
        <w:rPr>
          <w:rFonts w:ascii="Calibri" w:hAnsi="Calibri"/>
          <w:spacing w:val="-3"/>
          <w:sz w:val="20"/>
        </w:rPr>
        <w:t>on</w:t>
      </w:r>
      <w:r w:rsidRPr="00FE429E">
        <w:rPr>
          <w:rFonts w:ascii="Calibri" w:hAnsi="Calibri"/>
          <w:spacing w:val="-3"/>
          <w:sz w:val="20"/>
        </w:rPr>
        <w:t xml:space="preserve"> commercially available membranes. Such membranes </w:t>
      </w:r>
      <w:proofErr w:type="gramStart"/>
      <w:r w:rsidRPr="00FE429E">
        <w:rPr>
          <w:rFonts w:ascii="Calibri" w:hAnsi="Calibri"/>
          <w:spacing w:val="-3"/>
          <w:sz w:val="20"/>
        </w:rPr>
        <w:t>were modified</w:t>
      </w:r>
      <w:proofErr w:type="gramEnd"/>
      <w:r w:rsidRPr="00FE429E">
        <w:rPr>
          <w:rFonts w:ascii="Calibri" w:hAnsi="Calibri"/>
          <w:spacing w:val="-3"/>
          <w:sz w:val="20"/>
        </w:rPr>
        <w:t xml:space="preserve"> using several different PEO-based </w:t>
      </w:r>
      <w:proofErr w:type="spellStart"/>
      <w:r w:rsidRPr="00FE429E">
        <w:rPr>
          <w:rFonts w:ascii="Calibri" w:hAnsi="Calibri"/>
          <w:spacing w:val="-3"/>
          <w:sz w:val="20"/>
        </w:rPr>
        <w:t>silanes</w:t>
      </w:r>
      <w:proofErr w:type="spellEnd"/>
      <w:r w:rsidRPr="00FE429E">
        <w:rPr>
          <w:rFonts w:ascii="Calibri" w:hAnsi="Calibri"/>
          <w:spacing w:val="-3"/>
          <w:sz w:val="20"/>
        </w:rPr>
        <w:t xml:space="preserve"> and subsequently challenged with field SAGD produced water samples at pilot scale. Testing of the modified membranes in parallel with unmodified counterparts allowed for direct comparisons in terms of SAGD permeate flux, pure water permeability and separation of specific chemical species. The effects of </w:t>
      </w:r>
      <w:proofErr w:type="spellStart"/>
      <w:r w:rsidRPr="00FE429E">
        <w:rPr>
          <w:rFonts w:ascii="Calibri" w:hAnsi="Calibri"/>
          <w:spacing w:val="-3"/>
          <w:sz w:val="20"/>
        </w:rPr>
        <w:t>backflushing</w:t>
      </w:r>
      <w:proofErr w:type="spellEnd"/>
      <w:r w:rsidRPr="00FE429E">
        <w:rPr>
          <w:rFonts w:ascii="Calibri" w:hAnsi="Calibri"/>
          <w:spacing w:val="-3"/>
          <w:sz w:val="20"/>
        </w:rPr>
        <w:t xml:space="preserve"> and using produced water feeds from different SAGD operations on membrane performance </w:t>
      </w:r>
      <w:proofErr w:type="gramStart"/>
      <w:r w:rsidRPr="00FE429E">
        <w:rPr>
          <w:rFonts w:ascii="Calibri" w:hAnsi="Calibri"/>
          <w:spacing w:val="-3"/>
          <w:sz w:val="20"/>
        </w:rPr>
        <w:t>were also studied</w:t>
      </w:r>
      <w:proofErr w:type="gramEnd"/>
      <w:r w:rsidRPr="00FE429E">
        <w:rPr>
          <w:rFonts w:ascii="Calibri" w:hAnsi="Calibri"/>
          <w:spacing w:val="-3"/>
          <w:sz w:val="20"/>
        </w:rPr>
        <w:t>.</w:t>
      </w:r>
    </w:p>
    <w:p w:rsidR="00763B86" w:rsidRDefault="00763B86"/>
    <w:p w:rsidR="00763B86" w:rsidRDefault="00763B86"/>
    <w:sectPr w:rsidR="00763B8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283601"/>
    <w:multiLevelType w:val="hybridMultilevel"/>
    <w:tmpl w:val="49104DBA"/>
    <w:lvl w:ilvl="0" w:tplc="5900C524">
      <w:start w:val="1"/>
      <w:numFmt w:val="decimal"/>
      <w:lvlText w:val="%1."/>
      <w:lvlJc w:val="left"/>
      <w:pPr>
        <w:ind w:left="720" w:hanging="360"/>
      </w:pPr>
      <w:rPr>
        <w:rFonts w:asciiTheme="majorHAnsi" w:hAnsiTheme="majorHAnsi" w:hint="default"/>
        <w:vertAlign w:val="superscrip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B86"/>
    <w:rsid w:val="00033217"/>
    <w:rsid w:val="00712280"/>
    <w:rsid w:val="00763B86"/>
    <w:rsid w:val="008641BF"/>
    <w:rsid w:val="009729C0"/>
    <w:rsid w:val="00A313EA"/>
    <w:rsid w:val="00A75A35"/>
    <w:rsid w:val="00B25570"/>
    <w:rsid w:val="00C1798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8C515"/>
  <w15:chartTrackingRefBased/>
  <w15:docId w15:val="{FB309EB0-1342-46A6-8493-BD0C702C8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B86"/>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B86"/>
    <w:pPr>
      <w:ind w:left="720"/>
      <w:contextualSpacing/>
    </w:pPr>
  </w:style>
  <w:style w:type="character" w:styleId="Hyperlink">
    <w:name w:val="Hyperlink"/>
    <w:basedOn w:val="DefaultParagraphFont"/>
    <w:uiPriority w:val="99"/>
    <w:unhideWhenUsed/>
    <w:rsid w:val="00763B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228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viz.mortazavi@canada.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NRCan  /  RNCan</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Mortazavi, Saviz</dc:creator>
  <cp:keywords/>
  <dc:description/>
  <cp:lastModifiedBy>Mortazavi, Saviz</cp:lastModifiedBy>
  <cp:revision>5</cp:revision>
  <dcterms:created xsi:type="dcterms:W3CDTF">2018-03-15T14:27:00Z</dcterms:created>
  <dcterms:modified xsi:type="dcterms:W3CDTF">2018-03-15T14:36:00Z</dcterms:modified>
</cp:coreProperties>
</file>