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D16E0" w14:textId="3BAAE4A6" w:rsidR="007C47F2" w:rsidRDefault="00A82704" w:rsidP="005A034F">
      <w:pPr>
        <w:spacing w:line="240" w:lineRule="auto"/>
        <w:rPr>
          <w:rFonts w:eastAsia="Times New Roman"/>
          <w:b/>
          <w:bCs/>
          <w:sz w:val="28"/>
          <w:szCs w:val="28"/>
          <w:lang w:eastAsia="ja-JP"/>
        </w:rPr>
      </w:pPr>
      <w:r>
        <w:rPr>
          <w:rFonts w:eastAsia="DengXian Light"/>
          <w:b/>
          <w:spacing w:val="-10"/>
          <w:kern w:val="28"/>
          <w:sz w:val="28"/>
          <w:szCs w:val="28"/>
        </w:rPr>
        <w:t xml:space="preserve">Towards </w:t>
      </w:r>
      <w:r w:rsidR="00BF2E91">
        <w:rPr>
          <w:rFonts w:eastAsia="DengXian Light"/>
          <w:b/>
          <w:spacing w:val="-10"/>
          <w:kern w:val="28"/>
          <w:sz w:val="28"/>
          <w:szCs w:val="28"/>
        </w:rPr>
        <w:t>understanding the</w:t>
      </w:r>
      <w:r>
        <w:rPr>
          <w:rFonts w:eastAsia="DengXian Light"/>
          <w:b/>
          <w:spacing w:val="-10"/>
          <w:kern w:val="28"/>
          <w:sz w:val="28"/>
          <w:szCs w:val="28"/>
        </w:rPr>
        <w:t xml:space="preserve"> </w:t>
      </w:r>
      <w:r w:rsidR="00AB27D7">
        <w:rPr>
          <w:rFonts w:eastAsia="DengXian Light"/>
          <w:b/>
          <w:spacing w:val="-10"/>
          <w:kern w:val="28"/>
          <w:sz w:val="28"/>
          <w:szCs w:val="28"/>
        </w:rPr>
        <w:t>condu</w:t>
      </w:r>
      <w:r w:rsidR="00871A7F">
        <w:rPr>
          <w:rFonts w:eastAsia="DengXian Light"/>
          <w:b/>
          <w:spacing w:val="-10"/>
          <w:kern w:val="28"/>
          <w:sz w:val="28"/>
          <w:szCs w:val="28"/>
        </w:rPr>
        <w:t>c</w:t>
      </w:r>
      <w:r w:rsidR="00AB27D7">
        <w:rPr>
          <w:rFonts w:eastAsia="DengXian Light"/>
          <w:b/>
          <w:spacing w:val="-10"/>
          <w:kern w:val="28"/>
          <w:sz w:val="28"/>
          <w:szCs w:val="28"/>
        </w:rPr>
        <w:t>tivity</w:t>
      </w:r>
      <w:r>
        <w:rPr>
          <w:rFonts w:eastAsia="DengXian Light"/>
          <w:b/>
          <w:spacing w:val="-10"/>
          <w:kern w:val="28"/>
          <w:sz w:val="28"/>
          <w:szCs w:val="28"/>
        </w:rPr>
        <w:t xml:space="preserve">-selectivity-permeability tradeoff in ion exchange membranes: swelling </w:t>
      </w:r>
      <w:r w:rsidR="002B6892">
        <w:rPr>
          <w:rFonts w:eastAsia="DengXian Light"/>
          <w:b/>
          <w:spacing w:val="-10"/>
          <w:kern w:val="28"/>
          <w:sz w:val="28"/>
          <w:szCs w:val="28"/>
        </w:rPr>
        <w:t>modulates</w:t>
      </w:r>
      <w:r>
        <w:rPr>
          <w:rFonts w:eastAsia="DengXian Light"/>
          <w:b/>
          <w:spacing w:val="-10"/>
          <w:kern w:val="28"/>
          <w:sz w:val="28"/>
          <w:szCs w:val="28"/>
        </w:rPr>
        <w:t xml:space="preserve"> water and salt transport </w:t>
      </w:r>
    </w:p>
    <w:p w14:paraId="573385FC" w14:textId="728481AD" w:rsidR="00A82704" w:rsidRPr="0020463A" w:rsidRDefault="00A82704" w:rsidP="002240B4">
      <w:pPr>
        <w:numPr>
          <w:ilvl w:val="1"/>
          <w:numId w:val="0"/>
        </w:numPr>
        <w:spacing w:after="120" w:line="240" w:lineRule="auto"/>
        <w:rPr>
          <w:rFonts w:eastAsia="DengXian"/>
          <w:color w:val="595959"/>
          <w:spacing w:val="15"/>
        </w:rPr>
      </w:pPr>
      <w:r w:rsidRPr="0020463A">
        <w:rPr>
          <w:rFonts w:eastAsia="DengXian"/>
          <w:spacing w:val="15"/>
        </w:rPr>
        <w:t xml:space="preserve">Kingsbury, </w:t>
      </w:r>
      <w:proofErr w:type="spellStart"/>
      <w:r w:rsidRPr="0020463A">
        <w:rPr>
          <w:rFonts w:eastAsia="DengXian"/>
          <w:spacing w:val="15"/>
        </w:rPr>
        <w:t>R.S.</w:t>
      </w:r>
      <w:r w:rsidRPr="0020463A">
        <w:rPr>
          <w:rFonts w:eastAsia="DengXian"/>
          <w:spacing w:val="15"/>
          <w:vertAlign w:val="superscript"/>
        </w:rPr>
        <w:t>a</w:t>
      </w:r>
      <w:proofErr w:type="spellEnd"/>
      <w:r w:rsidRPr="0020463A">
        <w:rPr>
          <w:rFonts w:eastAsia="DengXian"/>
          <w:spacing w:val="15"/>
        </w:rPr>
        <w:t xml:space="preserve">, </w:t>
      </w:r>
      <w:proofErr w:type="spellStart"/>
      <w:r>
        <w:rPr>
          <w:rFonts w:eastAsia="DengXian"/>
          <w:spacing w:val="15"/>
        </w:rPr>
        <w:t>Bruning</w:t>
      </w:r>
      <w:proofErr w:type="spellEnd"/>
      <w:r>
        <w:rPr>
          <w:rFonts w:eastAsia="DengXian"/>
          <w:spacing w:val="15"/>
        </w:rPr>
        <w:t xml:space="preserve">, </w:t>
      </w:r>
      <w:proofErr w:type="spellStart"/>
      <w:r>
        <w:rPr>
          <w:rFonts w:eastAsia="DengXian"/>
          <w:spacing w:val="15"/>
        </w:rPr>
        <w:t>K.</w:t>
      </w:r>
      <w:r w:rsidRPr="00EC7E15">
        <w:rPr>
          <w:rFonts w:eastAsia="DengXian"/>
          <w:spacing w:val="15"/>
          <w:vertAlign w:val="superscript"/>
        </w:rPr>
        <w:t>a</w:t>
      </w:r>
      <w:proofErr w:type="spellEnd"/>
      <w:r>
        <w:rPr>
          <w:rFonts w:eastAsia="DengXian"/>
          <w:spacing w:val="15"/>
        </w:rPr>
        <w:t xml:space="preserve">, </w:t>
      </w:r>
      <w:r w:rsidRPr="0020463A">
        <w:rPr>
          <w:rFonts w:eastAsia="DengXian"/>
          <w:spacing w:val="15"/>
        </w:rPr>
        <w:t xml:space="preserve">Zhu, </w:t>
      </w:r>
      <w:proofErr w:type="spellStart"/>
      <w:r w:rsidRPr="0020463A">
        <w:rPr>
          <w:rFonts w:eastAsia="DengXian"/>
          <w:spacing w:val="15"/>
        </w:rPr>
        <w:t>S.</w:t>
      </w:r>
      <w:r w:rsidRPr="0020463A">
        <w:rPr>
          <w:rFonts w:eastAsia="DengXian"/>
          <w:spacing w:val="15"/>
          <w:vertAlign w:val="superscript"/>
        </w:rPr>
        <w:t>a</w:t>
      </w:r>
      <w:proofErr w:type="spellEnd"/>
      <w:r w:rsidRPr="0020463A">
        <w:rPr>
          <w:rFonts w:eastAsia="DengXian"/>
          <w:spacing w:val="15"/>
        </w:rPr>
        <w:t>,</w:t>
      </w:r>
      <w:r w:rsidRPr="006550B2">
        <w:rPr>
          <w:rFonts w:eastAsia="DengXian"/>
          <w:spacing w:val="15"/>
        </w:rPr>
        <w:t xml:space="preserve"> </w:t>
      </w:r>
      <w:proofErr w:type="spellStart"/>
      <w:r>
        <w:rPr>
          <w:rFonts w:eastAsia="DengXian"/>
          <w:spacing w:val="15"/>
        </w:rPr>
        <w:t>Flotron</w:t>
      </w:r>
      <w:proofErr w:type="spellEnd"/>
      <w:r>
        <w:rPr>
          <w:rFonts w:eastAsia="DengXian"/>
          <w:spacing w:val="15"/>
        </w:rPr>
        <w:t xml:space="preserve">, </w:t>
      </w:r>
      <w:proofErr w:type="spellStart"/>
      <w:r>
        <w:rPr>
          <w:rFonts w:eastAsia="DengXian"/>
          <w:spacing w:val="15"/>
        </w:rPr>
        <w:t>S.</w:t>
      </w:r>
      <w:r w:rsidRPr="0020463A">
        <w:rPr>
          <w:rFonts w:eastAsia="DengXian"/>
          <w:spacing w:val="15"/>
          <w:vertAlign w:val="superscript"/>
        </w:rPr>
        <w:t>a</w:t>
      </w:r>
      <w:proofErr w:type="spellEnd"/>
      <w:r w:rsidRPr="0020463A">
        <w:rPr>
          <w:rFonts w:eastAsia="DengXian"/>
          <w:spacing w:val="15"/>
        </w:rPr>
        <w:t xml:space="preserve">, </w:t>
      </w:r>
      <w:r>
        <w:rPr>
          <w:rFonts w:eastAsia="DengXian"/>
          <w:spacing w:val="15"/>
        </w:rPr>
        <w:t>Miller, C.</w:t>
      </w:r>
      <w:r w:rsidR="000B012E">
        <w:rPr>
          <w:rFonts w:eastAsia="DengXian"/>
          <w:spacing w:val="15"/>
        </w:rPr>
        <w:t xml:space="preserve"> </w:t>
      </w:r>
      <w:proofErr w:type="spellStart"/>
      <w:r w:rsidR="000B012E">
        <w:rPr>
          <w:rFonts w:eastAsia="DengXian"/>
          <w:spacing w:val="15"/>
        </w:rPr>
        <w:t>T.</w:t>
      </w:r>
      <w:r w:rsidRPr="00803AC2">
        <w:rPr>
          <w:rFonts w:eastAsia="DengXian"/>
          <w:spacing w:val="15"/>
          <w:vertAlign w:val="superscript"/>
        </w:rPr>
        <w:t>a</w:t>
      </w:r>
      <w:proofErr w:type="spellEnd"/>
      <w:r>
        <w:rPr>
          <w:rFonts w:eastAsia="DengXian"/>
          <w:spacing w:val="15"/>
        </w:rPr>
        <w:t xml:space="preserve">, </w:t>
      </w:r>
      <w:r w:rsidRPr="0020463A">
        <w:rPr>
          <w:rFonts w:eastAsia="DengXian"/>
          <w:spacing w:val="15"/>
        </w:rPr>
        <w:t xml:space="preserve">Coronell, </w:t>
      </w:r>
      <w:proofErr w:type="spellStart"/>
      <w:r w:rsidRPr="0020463A">
        <w:rPr>
          <w:rFonts w:eastAsia="DengXian"/>
          <w:spacing w:val="15"/>
        </w:rPr>
        <w:t>O.</w:t>
      </w:r>
      <w:r w:rsidRPr="0020463A">
        <w:rPr>
          <w:rFonts w:eastAsia="DengXian"/>
          <w:spacing w:val="15"/>
          <w:vertAlign w:val="superscript"/>
        </w:rPr>
        <w:t>a</w:t>
      </w:r>
      <w:proofErr w:type="spellEnd"/>
      <w:r w:rsidRPr="0020463A">
        <w:rPr>
          <w:rFonts w:eastAsia="DengXian"/>
          <w:spacing w:val="15"/>
          <w:vertAlign w:val="superscript"/>
        </w:rPr>
        <w:t>*</w:t>
      </w:r>
    </w:p>
    <w:p w14:paraId="6EA80310" w14:textId="77777777" w:rsidR="00A82704" w:rsidRPr="0020463A" w:rsidRDefault="00A82704">
      <w:pPr>
        <w:spacing w:after="0" w:line="240" w:lineRule="auto"/>
        <w:rPr>
          <w:sz w:val="22"/>
          <w:szCs w:val="22"/>
        </w:rPr>
      </w:pPr>
      <w:r w:rsidRPr="0020463A">
        <w:rPr>
          <w:sz w:val="22"/>
          <w:szCs w:val="22"/>
          <w:vertAlign w:val="superscript"/>
        </w:rPr>
        <w:t>a</w:t>
      </w:r>
      <w:r w:rsidRPr="0020463A">
        <w:rPr>
          <w:sz w:val="22"/>
          <w:szCs w:val="22"/>
        </w:rPr>
        <w:t xml:space="preserve"> Department of Environmental Sciences and Engineering, </w:t>
      </w:r>
      <w:proofErr w:type="spellStart"/>
      <w:r w:rsidRPr="0020463A">
        <w:rPr>
          <w:sz w:val="22"/>
          <w:szCs w:val="22"/>
        </w:rPr>
        <w:t>Gillings</w:t>
      </w:r>
      <w:proofErr w:type="spellEnd"/>
      <w:r w:rsidRPr="0020463A">
        <w:rPr>
          <w:sz w:val="22"/>
          <w:szCs w:val="22"/>
        </w:rPr>
        <w:t xml:space="preserve"> School of Global Public Health, The University of North Carolina at Chapel Hill, Chapel Hill, NC 27599, USA</w:t>
      </w:r>
    </w:p>
    <w:p w14:paraId="46EED95B" w14:textId="77777777" w:rsidR="00F84960" w:rsidRDefault="00F84960">
      <w:pPr>
        <w:spacing w:after="0" w:line="240" w:lineRule="auto"/>
        <w:rPr>
          <w:sz w:val="22"/>
          <w:szCs w:val="22"/>
        </w:rPr>
      </w:pPr>
    </w:p>
    <w:p w14:paraId="6174F993" w14:textId="77777777" w:rsidR="007C47F2" w:rsidRPr="00D34C2F" w:rsidRDefault="007C47F2">
      <w:pPr>
        <w:spacing w:after="0" w:line="240" w:lineRule="auto"/>
      </w:pPr>
    </w:p>
    <w:p w14:paraId="5F97733D" w14:textId="7D1003CD" w:rsidR="007C47F2" w:rsidRDefault="00F84960" w:rsidP="00FD06E9">
      <w:pPr>
        <w:spacing w:line="240" w:lineRule="auto"/>
        <w:jc w:val="center"/>
        <w:rPr>
          <w:rStyle w:val="Heading1Char"/>
        </w:rPr>
      </w:pPr>
      <w:r>
        <w:rPr>
          <w:noProof/>
        </w:rPr>
        <w:drawing>
          <wp:inline distT="0" distB="0" distL="0" distR="0" wp14:anchorId="24D42EDF" wp14:editId="0F85001C">
            <wp:extent cx="3598598" cy="193357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704" cy="19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71D3D" w14:textId="77777777" w:rsidR="007C47F2" w:rsidRDefault="007C47F2" w:rsidP="00FD06E9">
      <w:pPr>
        <w:spacing w:line="240" w:lineRule="auto"/>
      </w:pPr>
      <w:r w:rsidRPr="00B7260C">
        <w:rPr>
          <w:rStyle w:val="Heading1Char"/>
        </w:rPr>
        <w:t>Abstract</w:t>
      </w:r>
    </w:p>
    <w:p w14:paraId="5051B237" w14:textId="5BAF7F26" w:rsidR="009C52B9" w:rsidRPr="00C25F0C" w:rsidRDefault="00492CD4" w:rsidP="00FD06E9">
      <w:pPr>
        <w:spacing w:line="240" w:lineRule="auto"/>
      </w:pPr>
      <w:r>
        <w:t>Ion exchange membrane (IEM</w:t>
      </w:r>
      <w:r w:rsidR="009C52B9">
        <w:t xml:space="preserve">) performance in electrochemical </w:t>
      </w:r>
      <w:r>
        <w:t xml:space="preserve">processes such as </w:t>
      </w:r>
      <w:r w:rsidR="00AB27D7">
        <w:t>fuel cells, redox flow batteries, or</w:t>
      </w:r>
      <w:r>
        <w:t xml:space="preserve"> reverse electrodialysis (RED) </w:t>
      </w:r>
      <w:r w:rsidR="009C52B9">
        <w:t xml:space="preserve">is typically quantified through membrane selectivity and </w:t>
      </w:r>
      <w:r w:rsidR="00AB27D7">
        <w:t>conductivity</w:t>
      </w:r>
      <w:r w:rsidR="009C52B9">
        <w:t>, which together determine the energy efficiency</w:t>
      </w:r>
      <w:r w:rsidR="00BA2155">
        <w:t>.</w:t>
      </w:r>
      <w:r w:rsidR="009C52B9">
        <w:t xml:space="preserve"> However, water and co-ion transport </w:t>
      </w:r>
      <w:r>
        <w:t>(i.e., osmosis and salt diffusion</w:t>
      </w:r>
      <w:r w:rsidR="00AB27D7">
        <w:t xml:space="preserve"> / fuel crossover</w:t>
      </w:r>
      <w:r>
        <w:t xml:space="preserve">) also </w:t>
      </w:r>
      <w:r w:rsidR="00970213">
        <w:t>impact</w:t>
      </w:r>
      <w:r w:rsidR="009C52B9">
        <w:t xml:space="preserve"> </w:t>
      </w:r>
      <w:r>
        <w:t>energy efficiency by allowing uncontrolled mixing</w:t>
      </w:r>
      <w:r w:rsidR="00AB27D7">
        <w:t xml:space="preserve"> of the electrolyte solutions</w:t>
      </w:r>
      <w:r>
        <w:t xml:space="preserve"> to occur</w:t>
      </w:r>
      <w:r w:rsidR="00BA2155">
        <w:t>. For example, i</w:t>
      </w:r>
      <w:r w:rsidR="009C52B9">
        <w:t>n RED with hypersaline wat</w:t>
      </w:r>
      <w:r w:rsidR="00BA2155">
        <w:t>er sources</w:t>
      </w:r>
      <w:r w:rsidR="009C52B9">
        <w:t>, uncontrolled mixing consumes 20-50% of the available mixing energy. Thus</w:t>
      </w:r>
      <w:r w:rsidR="009C52B9" w:rsidRPr="00BD0F9D">
        <w:t xml:space="preserve">, in addition to high selectivity and </w:t>
      </w:r>
      <w:r w:rsidR="00AB27D7">
        <w:t>high conductivity</w:t>
      </w:r>
      <w:r w:rsidR="009C52B9" w:rsidRPr="00BD0F9D">
        <w:t xml:space="preserve">, it is desirable for IEMs to have low permeability to </w:t>
      </w:r>
      <w:r w:rsidR="009C52B9">
        <w:t>water and salt in order to minimize energy losses</w:t>
      </w:r>
      <w:r w:rsidR="009C52B9" w:rsidRPr="00BD0F9D">
        <w:t>. Unfortunately</w:t>
      </w:r>
      <w:r w:rsidR="009C52B9">
        <w:t xml:space="preserve">, very little quantitative </w:t>
      </w:r>
      <w:r w:rsidR="002240B4">
        <w:t xml:space="preserve">information on </w:t>
      </w:r>
      <w:r w:rsidR="009C52B9">
        <w:t xml:space="preserve">water and salt permeability </w:t>
      </w:r>
      <w:r w:rsidR="002240B4">
        <w:t xml:space="preserve">is </w:t>
      </w:r>
      <w:r w:rsidR="001A3B77">
        <w:t>available for</w:t>
      </w:r>
      <w:r w:rsidR="009C52B9">
        <w:t xml:space="preserve"> commercial IEMs, making it difficult to select the best </w:t>
      </w:r>
      <w:r w:rsidR="001A3B77">
        <w:t>membrane</w:t>
      </w:r>
      <w:r w:rsidR="009C52B9">
        <w:t xml:space="preserve"> for a particular application. Furthermore, it is currently unknown how </w:t>
      </w:r>
      <w:r w:rsidR="00970213">
        <w:t xml:space="preserve">the </w:t>
      </w:r>
      <w:r w:rsidR="009C52B9">
        <w:t>water and salt permeabilit</w:t>
      </w:r>
      <w:r w:rsidR="00970213">
        <w:t>ies</w:t>
      </w:r>
      <w:r w:rsidR="009C52B9">
        <w:t xml:space="preserve"> </w:t>
      </w:r>
      <w:r w:rsidR="00970213">
        <w:t xml:space="preserve">of IEMs </w:t>
      </w:r>
      <w:r w:rsidR="009C52B9">
        <w:t xml:space="preserve">are related to </w:t>
      </w:r>
      <w:r w:rsidR="00CC3776">
        <w:t xml:space="preserve">one another and to </w:t>
      </w:r>
      <w:r w:rsidR="009C52B9">
        <w:t>other membrane properties</w:t>
      </w:r>
      <w:r w:rsidR="001121B5">
        <w:t xml:space="preserve"> such as polymer chemistry, charge concentration, etc.</w:t>
      </w:r>
      <w:r w:rsidR="009C52B9">
        <w:t xml:space="preserve"> Accordingly, </w:t>
      </w:r>
      <w:r w:rsidR="00A856F3">
        <w:t xml:space="preserve">we measured the water and salt transport properties of 20 commercial IEMs and investigated relationships between water </w:t>
      </w:r>
      <w:r w:rsidR="00970213">
        <w:t>permeability</w:t>
      </w:r>
      <w:r w:rsidR="00A856F3">
        <w:t xml:space="preserve">, salt </w:t>
      </w:r>
      <w:r w:rsidR="00970213">
        <w:t>permeability</w:t>
      </w:r>
      <w:r w:rsidR="00A856F3">
        <w:t>, water content</w:t>
      </w:r>
      <w:r w:rsidR="00970213">
        <w:t xml:space="preserve"> (i.e., swelling)</w:t>
      </w:r>
      <w:r w:rsidR="00A856F3">
        <w:t>, fixed charge concentration, and surface hydrophilicity.</w:t>
      </w:r>
      <w:r w:rsidR="006D68EF">
        <w:t xml:space="preserve"> We found that water and salt permeability were highly correlated to one another and to membrane water </w:t>
      </w:r>
      <w:r w:rsidR="002240B4">
        <w:t xml:space="preserve">content </w:t>
      </w:r>
      <w:r w:rsidR="006D68EF">
        <w:t xml:space="preserve">for all IEMs studied, regardless of </w:t>
      </w:r>
      <w:r w:rsidR="00F56869">
        <w:t>polymer chemistry, reinforcement</w:t>
      </w:r>
      <w:r w:rsidR="00B70ADF">
        <w:t>,</w:t>
      </w:r>
      <w:r w:rsidR="00F56869">
        <w:t xml:space="preserve"> charge</w:t>
      </w:r>
      <w:r w:rsidR="00B70ADF">
        <w:t>, or surface hydrophilicity</w:t>
      </w:r>
      <w:r w:rsidR="00F56869">
        <w:t xml:space="preserve">. </w:t>
      </w:r>
      <w:r w:rsidR="00970213">
        <w:t>In addition</w:t>
      </w:r>
      <w:r w:rsidR="00F56869">
        <w:t xml:space="preserve">, the </w:t>
      </w:r>
      <w:r w:rsidR="0081684A">
        <w:t xml:space="preserve">water and salt </w:t>
      </w:r>
      <w:r w:rsidR="002E7D68">
        <w:t xml:space="preserve">permeability, </w:t>
      </w:r>
      <w:r w:rsidR="00FD06E9">
        <w:t>partition</w:t>
      </w:r>
      <w:r w:rsidR="0081684A">
        <w:t>,</w:t>
      </w:r>
      <w:r w:rsidR="00FD06E9">
        <w:t xml:space="preserve"> and diffusion coefficients </w:t>
      </w:r>
      <w:r w:rsidR="0081684A">
        <w:t>of</w:t>
      </w:r>
      <w:r w:rsidR="00F56869">
        <w:t xml:space="preserve"> commercial IEMs were similar</w:t>
      </w:r>
      <w:r w:rsidR="00970213">
        <w:t xml:space="preserve"> in </w:t>
      </w:r>
      <w:r w:rsidR="00FD06E9">
        <w:t xml:space="preserve">magnitude </w:t>
      </w:r>
      <w:r w:rsidR="00F56869">
        <w:t>to those of polymers for desalination applications (e.g., reverse osmosis or nanofiltration</w:t>
      </w:r>
      <w:r w:rsidR="00970213">
        <w:t>)</w:t>
      </w:r>
      <w:r w:rsidR="00F56869">
        <w:t xml:space="preserve">. </w:t>
      </w:r>
      <w:r w:rsidR="006D68EF">
        <w:t xml:space="preserve"> </w:t>
      </w:r>
      <w:r w:rsidR="00F56869">
        <w:t>Overall, our</w:t>
      </w:r>
      <w:r w:rsidR="009C52B9">
        <w:t xml:space="preserve"> results </w:t>
      </w:r>
      <w:r w:rsidR="00BA2155">
        <w:t>suggest</w:t>
      </w:r>
      <w:r w:rsidR="009C52B9">
        <w:t xml:space="preserve"> a </w:t>
      </w:r>
      <w:r w:rsidR="00A856F3">
        <w:t>‘</w:t>
      </w:r>
      <w:r w:rsidR="00AB27D7">
        <w:t>conductivity</w:t>
      </w:r>
      <w:r w:rsidR="00A856F3">
        <w:t>-selectivity-permeability’ tradeoff in IEMs in which membrane swelling is the crucial determinant of IEM performance.</w:t>
      </w:r>
      <w:r w:rsidR="006D68EF">
        <w:t xml:space="preserve"> </w:t>
      </w:r>
    </w:p>
    <w:p w14:paraId="4E877932" w14:textId="01554CE0" w:rsidR="00A871F3" w:rsidRDefault="007C47F2" w:rsidP="00FD06E9">
      <w:pPr>
        <w:spacing w:line="240" w:lineRule="auto"/>
      </w:pPr>
      <w:r w:rsidRPr="00AD071F">
        <w:rPr>
          <w:b/>
          <w:bCs/>
        </w:rPr>
        <w:t>Keywords:</w:t>
      </w:r>
      <w:r w:rsidR="00A82704">
        <w:rPr>
          <w:bCs/>
        </w:rPr>
        <w:t xml:space="preserve"> ion exchange membr</w:t>
      </w:r>
      <w:r w:rsidR="00E54F28">
        <w:rPr>
          <w:bCs/>
        </w:rPr>
        <w:t xml:space="preserve">ane; salt diffusion; osmosis; structure-property relations; </w:t>
      </w:r>
      <w:bookmarkStart w:id="0" w:name="_GoBack"/>
      <w:r w:rsidR="00E54F28">
        <w:rPr>
          <w:bCs/>
        </w:rPr>
        <w:t>resistance</w:t>
      </w:r>
      <w:bookmarkEnd w:id="0"/>
      <w:r w:rsidR="00E54F28">
        <w:rPr>
          <w:bCs/>
        </w:rPr>
        <w:t>-permselectivity tradeoff</w:t>
      </w:r>
    </w:p>
    <w:sectPr w:rsidR="00A871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6528B"/>
    <w:multiLevelType w:val="hybridMultilevel"/>
    <w:tmpl w:val="8FE251C0"/>
    <w:lvl w:ilvl="0" w:tplc="9698B5BC">
      <w:numFmt w:val="bullet"/>
      <w:pStyle w:val="ListParagraph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E017F"/>
    <w:multiLevelType w:val="hybridMultilevel"/>
    <w:tmpl w:val="40B25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7F2"/>
    <w:rsid w:val="00055E79"/>
    <w:rsid w:val="00097003"/>
    <w:rsid w:val="000B012E"/>
    <w:rsid w:val="000E1D12"/>
    <w:rsid w:val="001121B5"/>
    <w:rsid w:val="00165E39"/>
    <w:rsid w:val="001A3B77"/>
    <w:rsid w:val="001A46DD"/>
    <w:rsid w:val="001F67B8"/>
    <w:rsid w:val="002240B4"/>
    <w:rsid w:val="00232EDE"/>
    <w:rsid w:val="002B6892"/>
    <w:rsid w:val="002E7D68"/>
    <w:rsid w:val="003C48CD"/>
    <w:rsid w:val="00492CD4"/>
    <w:rsid w:val="00555CE7"/>
    <w:rsid w:val="005A034F"/>
    <w:rsid w:val="006D4E43"/>
    <w:rsid w:val="006D68EF"/>
    <w:rsid w:val="006E129E"/>
    <w:rsid w:val="007210C7"/>
    <w:rsid w:val="00724D5D"/>
    <w:rsid w:val="0079523F"/>
    <w:rsid w:val="007C47F2"/>
    <w:rsid w:val="0081684A"/>
    <w:rsid w:val="008269FB"/>
    <w:rsid w:val="00871A7F"/>
    <w:rsid w:val="00970213"/>
    <w:rsid w:val="009C52B9"/>
    <w:rsid w:val="00A16424"/>
    <w:rsid w:val="00A82704"/>
    <w:rsid w:val="00A856F3"/>
    <w:rsid w:val="00A871F3"/>
    <w:rsid w:val="00AB27D7"/>
    <w:rsid w:val="00B70ADF"/>
    <w:rsid w:val="00BA2155"/>
    <w:rsid w:val="00BF2E91"/>
    <w:rsid w:val="00C17512"/>
    <w:rsid w:val="00C67CF4"/>
    <w:rsid w:val="00CC3776"/>
    <w:rsid w:val="00D964DB"/>
    <w:rsid w:val="00E54F28"/>
    <w:rsid w:val="00F56869"/>
    <w:rsid w:val="00F84960"/>
    <w:rsid w:val="00FD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AF069"/>
  <w15:chartTrackingRefBased/>
  <w15:docId w15:val="{7D10A665-B660-4A21-BEBB-2D587AFD3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theme="minorBidi"/>
        <w:color w:val="000000" w:themeColor="text1"/>
        <w:sz w:val="24"/>
        <w:szCs w:val="24"/>
        <w:lang w:val="en-US" w:eastAsia="zh-CN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47F2"/>
    <w:pPr>
      <w:spacing w:line="480" w:lineRule="auto"/>
    </w:pPr>
    <w:rPr>
      <w:rFonts w:eastAsiaTheme="minorHAnsi" w:cs="Times New Roman"/>
      <w:color w:val="auto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5E79"/>
    <w:pPr>
      <w:keepNext/>
      <w:keepLines/>
      <w:spacing w:before="240" w:after="120" w:line="259" w:lineRule="auto"/>
      <w:outlineLvl w:val="0"/>
    </w:pPr>
    <w:rPr>
      <w:rFonts w:eastAsiaTheme="majorEastAsia"/>
      <w:b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4"/>
    <w:qFormat/>
    <w:rsid w:val="00055E79"/>
    <w:pPr>
      <w:spacing w:after="240" w:line="259" w:lineRule="auto"/>
      <w:outlineLvl w:val="1"/>
    </w:pPr>
    <w:rPr>
      <w:rFonts w:eastAsiaTheme="minorEastAsia"/>
      <w:b/>
      <w:i/>
      <w:lang w:eastAsia="zh-CN"/>
    </w:rPr>
  </w:style>
  <w:style w:type="paragraph" w:styleId="Heading3">
    <w:name w:val="heading 3"/>
    <w:basedOn w:val="Normal"/>
    <w:next w:val="Normal"/>
    <w:link w:val="Heading3Char"/>
    <w:uiPriority w:val="4"/>
    <w:qFormat/>
    <w:rsid w:val="00055E79"/>
    <w:pPr>
      <w:spacing w:after="240" w:line="259" w:lineRule="auto"/>
      <w:outlineLvl w:val="2"/>
    </w:pPr>
    <w:rPr>
      <w:rFonts w:eastAsiaTheme="minorEastAsia"/>
      <w:u w:val="single"/>
      <w:lang w:eastAsia="zh-CN"/>
    </w:rPr>
  </w:style>
  <w:style w:type="paragraph" w:styleId="Heading4">
    <w:name w:val="heading 4"/>
    <w:basedOn w:val="Normal"/>
    <w:next w:val="Normal"/>
    <w:link w:val="Heading4Char"/>
    <w:uiPriority w:val="4"/>
    <w:unhideWhenUsed/>
    <w:rsid w:val="00055E79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E79"/>
    <w:rPr>
      <w:rFonts w:eastAsiaTheme="majorEastAsia" w:cs="Times New Roman"/>
      <w:b/>
      <w:color w:val="auto"/>
      <w:szCs w:val="28"/>
    </w:rPr>
  </w:style>
  <w:style w:type="character" w:customStyle="1" w:styleId="Heading2Char">
    <w:name w:val="Heading 2 Char"/>
    <w:basedOn w:val="DefaultParagraphFont"/>
    <w:link w:val="Heading2"/>
    <w:uiPriority w:val="4"/>
    <w:rsid w:val="00055E79"/>
    <w:rPr>
      <w:rFonts w:cs="Times New Roman"/>
      <w:b/>
      <w:i/>
      <w:color w:val="auto"/>
    </w:rPr>
  </w:style>
  <w:style w:type="character" w:customStyle="1" w:styleId="Heading3Char">
    <w:name w:val="Heading 3 Char"/>
    <w:basedOn w:val="DefaultParagraphFont"/>
    <w:link w:val="Heading3"/>
    <w:uiPriority w:val="4"/>
    <w:rsid w:val="00055E79"/>
    <w:rPr>
      <w:rFonts w:cs="Times New Roman"/>
      <w:color w:val="auto"/>
      <w:u w:val="single"/>
    </w:rPr>
  </w:style>
  <w:style w:type="character" w:customStyle="1" w:styleId="Heading4Char">
    <w:name w:val="Heading 4 Char"/>
    <w:basedOn w:val="DefaultParagraphFont"/>
    <w:link w:val="Heading4"/>
    <w:uiPriority w:val="4"/>
    <w:rsid w:val="00055E7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Subtitle">
    <w:name w:val="Subtitle"/>
    <w:aliases w:val="Authors"/>
    <w:basedOn w:val="Normal"/>
    <w:next w:val="Normal"/>
    <w:link w:val="SubtitleChar"/>
    <w:qFormat/>
    <w:rsid w:val="00055E79"/>
    <w:pPr>
      <w:numPr>
        <w:ilvl w:val="1"/>
      </w:numPr>
      <w:spacing w:after="240" w:line="259" w:lineRule="auto"/>
      <w:jc w:val="center"/>
    </w:pPr>
    <w:rPr>
      <w:rFonts w:eastAsiaTheme="minorEastAsia"/>
      <w:color w:val="595959" w:themeColor="text1" w:themeTint="A6"/>
      <w:spacing w:val="15"/>
      <w:lang w:eastAsia="zh-CN"/>
    </w:rPr>
  </w:style>
  <w:style w:type="character" w:customStyle="1" w:styleId="SubtitleChar">
    <w:name w:val="Subtitle Char"/>
    <w:aliases w:val="Authors Char"/>
    <w:basedOn w:val="DefaultParagraphFont"/>
    <w:link w:val="Subtitle"/>
    <w:rsid w:val="00055E79"/>
    <w:rPr>
      <w:rFonts w:eastAsiaTheme="minorEastAsia" w:cs="Times New Roman"/>
      <w:color w:val="595959" w:themeColor="text1" w:themeTint="A6"/>
      <w:spacing w:val="15"/>
    </w:rPr>
  </w:style>
  <w:style w:type="paragraph" w:customStyle="1" w:styleId="TableorFigureCaption">
    <w:name w:val="Table or Figure Caption"/>
    <w:basedOn w:val="Normal"/>
    <w:uiPriority w:val="5"/>
    <w:qFormat/>
    <w:rsid w:val="001A46DD"/>
    <w:pPr>
      <w:spacing w:after="480" w:line="240" w:lineRule="auto"/>
    </w:pPr>
    <w:rPr>
      <w:rFonts w:eastAsiaTheme="minorEastAsia"/>
      <w:b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055E79"/>
    <w:pPr>
      <w:spacing w:after="120"/>
      <w:contextualSpacing/>
      <w:jc w:val="center"/>
    </w:pPr>
    <w:rPr>
      <w:rFonts w:eastAsiaTheme="majorEastAsia"/>
      <w:spacing w:val="-10"/>
      <w:kern w:val="28"/>
      <w:sz w:val="28"/>
      <w:szCs w:val="4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55E79"/>
    <w:rPr>
      <w:rFonts w:eastAsiaTheme="majorEastAsia" w:cs="Times New Roman"/>
      <w:color w:val="auto"/>
      <w:spacing w:val="-10"/>
      <w:kern w:val="28"/>
      <w:sz w:val="28"/>
      <w:szCs w:val="40"/>
    </w:rPr>
  </w:style>
  <w:style w:type="character" w:styleId="CommentReference">
    <w:name w:val="annotation reference"/>
    <w:basedOn w:val="DefaultParagraphFont"/>
    <w:uiPriority w:val="99"/>
    <w:semiHidden/>
    <w:unhideWhenUsed/>
    <w:rsid w:val="00A827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2704"/>
    <w:pPr>
      <w:spacing w:after="240" w:line="240" w:lineRule="auto"/>
    </w:pPr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2704"/>
    <w:rPr>
      <w:rFonts w:eastAsia="SimSun" w:cs="Times New Roman"/>
      <w:color w:val="auto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2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704"/>
    <w:rPr>
      <w:rFonts w:ascii="Segoe UI" w:eastAsiaTheme="minorHAnsi" w:hAnsi="Segoe UI" w:cs="Segoe UI"/>
      <w:color w:val="auto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unhideWhenUsed/>
    <w:qFormat/>
    <w:rsid w:val="009C52B9"/>
    <w:pPr>
      <w:numPr>
        <w:numId w:val="1"/>
      </w:numPr>
      <w:spacing w:after="120" w:line="240" w:lineRule="auto"/>
      <w:contextualSpacing/>
    </w:pPr>
    <w:rPr>
      <w:rFonts w:eastAsia="SimSun" w:cstheme="minorBidi"/>
      <w:color w:val="000000" w:themeColor="tex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0B4"/>
    <w:pPr>
      <w:spacing w:after="160"/>
    </w:pPr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0B4"/>
    <w:rPr>
      <w:rFonts w:eastAsiaTheme="minorHAnsi" w:cs="Times New Roman"/>
      <w:b/>
      <w:bCs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Kingsbury</dc:creator>
  <cp:keywords/>
  <dc:description/>
  <cp:lastModifiedBy>Ryan Kingsbury</cp:lastModifiedBy>
  <cp:revision>5</cp:revision>
  <dcterms:created xsi:type="dcterms:W3CDTF">2018-03-15T14:48:00Z</dcterms:created>
  <dcterms:modified xsi:type="dcterms:W3CDTF">2018-03-15T16:47:00Z</dcterms:modified>
</cp:coreProperties>
</file>