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333" w:rsidRPr="00804F51" w:rsidRDefault="007E1402" w:rsidP="00EF2333">
      <w:pPr>
        <w:jc w:val="center"/>
        <w:rPr>
          <w:rFonts w:ascii="Times New Roman" w:eastAsia="MS Gothic" w:hAnsi="Times New Roman"/>
          <w:b/>
          <w:kern w:val="0"/>
          <w:sz w:val="29"/>
          <w:szCs w:val="29"/>
        </w:rPr>
      </w:pPr>
      <w:proofErr w:type="spellStart"/>
      <w:r w:rsidRPr="00804F51">
        <w:rPr>
          <w:rFonts w:ascii="Times New Roman" w:eastAsia="MS Gothic" w:hAnsi="Times New Roman"/>
          <w:b/>
          <w:kern w:val="0"/>
          <w:sz w:val="29"/>
          <w:szCs w:val="29"/>
        </w:rPr>
        <w:t>Nanoporous</w:t>
      </w:r>
      <w:proofErr w:type="spellEnd"/>
      <w:r w:rsidRPr="00804F51">
        <w:rPr>
          <w:rFonts w:ascii="Times New Roman" w:eastAsia="MS Gothic" w:hAnsi="Times New Roman"/>
          <w:b/>
          <w:kern w:val="0"/>
          <w:sz w:val="29"/>
          <w:szCs w:val="29"/>
        </w:rPr>
        <w:t xml:space="preserve"> Materials: Enabling the Translation </w:t>
      </w:r>
      <w:proofErr w:type="gramStart"/>
      <w:r w:rsidRPr="00804F51">
        <w:rPr>
          <w:rFonts w:ascii="Times New Roman" w:eastAsia="MS Gothic" w:hAnsi="Times New Roman"/>
          <w:b/>
          <w:kern w:val="0"/>
          <w:sz w:val="29"/>
          <w:szCs w:val="29"/>
        </w:rPr>
        <w:t>From</w:t>
      </w:r>
      <w:proofErr w:type="gramEnd"/>
      <w:r w:rsidRPr="00804F51">
        <w:rPr>
          <w:rFonts w:ascii="Times New Roman" w:eastAsia="MS Gothic" w:hAnsi="Times New Roman"/>
          <w:b/>
          <w:kern w:val="0"/>
          <w:sz w:val="29"/>
          <w:szCs w:val="29"/>
        </w:rPr>
        <w:t xml:space="preserve"> High Performance Polymers to High Performance Membranes</w:t>
      </w:r>
    </w:p>
    <w:p w:rsidR="007E1402" w:rsidRPr="00804F51" w:rsidRDefault="007E1402" w:rsidP="00EF2333">
      <w:pPr>
        <w:spacing w:after="80"/>
        <w:jc w:val="center"/>
        <w:rPr>
          <w:rFonts w:ascii="Times New Roman" w:eastAsia="MS Gothic" w:hAnsi="Times New Roman"/>
          <w:sz w:val="20"/>
          <w:szCs w:val="20"/>
        </w:rPr>
      </w:pPr>
    </w:p>
    <w:p w:rsidR="00EF2333" w:rsidRPr="00804F51" w:rsidRDefault="007E1402" w:rsidP="007E1402">
      <w:pPr>
        <w:spacing w:after="80"/>
        <w:jc w:val="center"/>
        <w:rPr>
          <w:rFonts w:ascii="Times New Roman" w:eastAsia="MS Gothic" w:hAnsi="Times New Roman"/>
          <w:i/>
          <w:sz w:val="20"/>
          <w:szCs w:val="20"/>
          <w:u w:val="single"/>
        </w:rPr>
      </w:pPr>
      <w:r w:rsidRPr="00804F51">
        <w:rPr>
          <w:rFonts w:ascii="Times New Roman" w:eastAsia="MS Gothic" w:hAnsi="Times New Roman"/>
          <w:i/>
          <w:sz w:val="20"/>
          <w:szCs w:val="20"/>
        </w:rPr>
        <w:t xml:space="preserve">Stefan J.D. </w:t>
      </w:r>
      <w:proofErr w:type="spellStart"/>
      <w:r w:rsidRPr="00804F51">
        <w:rPr>
          <w:rFonts w:ascii="Times New Roman" w:eastAsia="MS Gothic" w:hAnsi="Times New Roman"/>
          <w:i/>
          <w:sz w:val="20"/>
          <w:szCs w:val="20"/>
        </w:rPr>
        <w:t>Smith</w:t>
      </w:r>
      <w:r w:rsidRPr="00804F51">
        <w:rPr>
          <w:rFonts w:ascii="Times New Roman" w:eastAsia="MS Gothic" w:hAnsi="Times New Roman"/>
          <w:i/>
          <w:sz w:val="20"/>
          <w:szCs w:val="20"/>
          <w:vertAlign w:val="superscript"/>
        </w:rPr>
        <w:t>a</w:t>
      </w:r>
      <w:proofErr w:type="spellEnd"/>
      <w:r w:rsidRPr="00804F51">
        <w:rPr>
          <w:rFonts w:ascii="Times New Roman" w:eastAsia="MS Gothic" w:hAnsi="Times New Roman"/>
          <w:i/>
          <w:sz w:val="20"/>
          <w:szCs w:val="20"/>
        </w:rPr>
        <w:t xml:space="preserve">, Rujing </w:t>
      </w:r>
      <w:proofErr w:type="spellStart"/>
      <w:r w:rsidRPr="00804F51">
        <w:rPr>
          <w:rFonts w:ascii="Times New Roman" w:eastAsia="MS Gothic" w:hAnsi="Times New Roman"/>
          <w:i/>
          <w:sz w:val="20"/>
          <w:szCs w:val="20"/>
        </w:rPr>
        <w:t>Hou</w:t>
      </w:r>
      <w:r w:rsidRPr="00804F51">
        <w:rPr>
          <w:rFonts w:ascii="Times New Roman" w:eastAsia="MS Gothic" w:hAnsi="Times New Roman"/>
          <w:i/>
          <w:sz w:val="20"/>
          <w:szCs w:val="20"/>
          <w:vertAlign w:val="superscript"/>
        </w:rPr>
        <w:t>b</w:t>
      </w:r>
      <w:proofErr w:type="spellEnd"/>
      <w:r w:rsidRPr="00804F51">
        <w:rPr>
          <w:rFonts w:ascii="Times New Roman" w:eastAsia="MS Gothic" w:hAnsi="Times New Roman"/>
          <w:i/>
          <w:sz w:val="20"/>
          <w:szCs w:val="20"/>
        </w:rPr>
        <w:t xml:space="preserve">, Huanting </w:t>
      </w:r>
      <w:proofErr w:type="spellStart"/>
      <w:r w:rsidRPr="00804F51">
        <w:rPr>
          <w:rFonts w:ascii="Times New Roman" w:eastAsia="MS Gothic" w:hAnsi="Times New Roman"/>
          <w:i/>
          <w:sz w:val="20"/>
          <w:szCs w:val="20"/>
        </w:rPr>
        <w:t>Wang</w:t>
      </w:r>
      <w:r w:rsidRPr="00804F51">
        <w:rPr>
          <w:rFonts w:ascii="Times New Roman" w:eastAsia="MS Gothic" w:hAnsi="Times New Roman"/>
          <w:i/>
          <w:sz w:val="20"/>
          <w:szCs w:val="20"/>
          <w:vertAlign w:val="superscript"/>
        </w:rPr>
        <w:t>b</w:t>
      </w:r>
      <w:proofErr w:type="spellEnd"/>
      <w:r w:rsidRPr="00804F51">
        <w:rPr>
          <w:rFonts w:ascii="Times New Roman" w:eastAsia="MS Gothic" w:hAnsi="Times New Roman"/>
          <w:i/>
          <w:sz w:val="20"/>
          <w:szCs w:val="20"/>
        </w:rPr>
        <w:t xml:space="preserve">, Cher Hon </w:t>
      </w:r>
      <w:proofErr w:type="spellStart"/>
      <w:r w:rsidRPr="00804F51">
        <w:rPr>
          <w:rFonts w:ascii="Times New Roman" w:eastAsia="MS Gothic" w:hAnsi="Times New Roman"/>
          <w:i/>
          <w:sz w:val="20"/>
          <w:szCs w:val="20"/>
        </w:rPr>
        <w:t>Lau</w:t>
      </w:r>
      <w:r w:rsidRPr="00804F51">
        <w:rPr>
          <w:rFonts w:ascii="Times New Roman" w:eastAsia="MS Gothic" w:hAnsi="Times New Roman"/>
          <w:i/>
          <w:sz w:val="20"/>
          <w:szCs w:val="20"/>
          <w:vertAlign w:val="superscript"/>
        </w:rPr>
        <w:t>c</w:t>
      </w:r>
      <w:proofErr w:type="spellEnd"/>
      <w:r w:rsidRPr="00804F51">
        <w:rPr>
          <w:rFonts w:ascii="Times New Roman" w:eastAsia="MS Gothic" w:hAnsi="Times New Roman"/>
          <w:i/>
          <w:sz w:val="20"/>
          <w:szCs w:val="20"/>
        </w:rPr>
        <w:t xml:space="preserve">, Neil B. </w:t>
      </w:r>
      <w:proofErr w:type="spellStart"/>
      <w:r w:rsidRPr="00804F51">
        <w:rPr>
          <w:rFonts w:ascii="Times New Roman" w:eastAsia="MS Gothic" w:hAnsi="Times New Roman"/>
          <w:i/>
          <w:sz w:val="20"/>
          <w:szCs w:val="20"/>
        </w:rPr>
        <w:t>Mckeown</w:t>
      </w:r>
      <w:r w:rsidRPr="00804F51">
        <w:rPr>
          <w:rFonts w:ascii="Times New Roman" w:eastAsia="MS Gothic" w:hAnsi="Times New Roman"/>
          <w:i/>
          <w:sz w:val="20"/>
          <w:szCs w:val="20"/>
          <w:vertAlign w:val="superscript"/>
        </w:rPr>
        <w:t>c</w:t>
      </w:r>
      <w:proofErr w:type="spellEnd"/>
      <w:r w:rsidRPr="00804F51">
        <w:rPr>
          <w:rFonts w:ascii="Times New Roman" w:eastAsia="MS Gothic" w:hAnsi="Times New Roman"/>
          <w:i/>
          <w:sz w:val="20"/>
          <w:szCs w:val="20"/>
        </w:rPr>
        <w:t xml:space="preserve">, Kristina </w:t>
      </w:r>
      <w:proofErr w:type="spellStart"/>
      <w:r w:rsidRPr="00804F51">
        <w:rPr>
          <w:rFonts w:ascii="Times New Roman" w:eastAsia="MS Gothic" w:hAnsi="Times New Roman"/>
          <w:i/>
          <w:sz w:val="20"/>
          <w:szCs w:val="20"/>
        </w:rPr>
        <w:t>Konstas</w:t>
      </w:r>
      <w:r w:rsidRPr="00804F51">
        <w:rPr>
          <w:rFonts w:ascii="Times New Roman" w:eastAsia="MS Gothic" w:hAnsi="Times New Roman"/>
          <w:i/>
          <w:sz w:val="20"/>
          <w:szCs w:val="20"/>
          <w:vertAlign w:val="superscript"/>
        </w:rPr>
        <w:t>a</w:t>
      </w:r>
      <w:proofErr w:type="spellEnd"/>
      <w:r w:rsidRPr="00804F51">
        <w:rPr>
          <w:rFonts w:ascii="Times New Roman" w:eastAsia="MS Gothic" w:hAnsi="Times New Roman"/>
          <w:i/>
          <w:sz w:val="20"/>
          <w:szCs w:val="20"/>
        </w:rPr>
        <w:t xml:space="preserve"> and </w:t>
      </w:r>
      <w:r w:rsidRPr="00804F51">
        <w:rPr>
          <w:rFonts w:ascii="Times New Roman" w:eastAsia="MS Gothic" w:hAnsi="Times New Roman"/>
          <w:i/>
          <w:sz w:val="20"/>
          <w:szCs w:val="20"/>
          <w:u w:val="single"/>
        </w:rPr>
        <w:t xml:space="preserve">Matthew R </w:t>
      </w:r>
      <w:proofErr w:type="spellStart"/>
      <w:r w:rsidRPr="00804F51">
        <w:rPr>
          <w:rFonts w:ascii="Times New Roman" w:eastAsia="MS Gothic" w:hAnsi="Times New Roman"/>
          <w:i/>
          <w:sz w:val="20"/>
          <w:szCs w:val="20"/>
          <w:u w:val="single"/>
        </w:rPr>
        <w:t>Hill</w:t>
      </w:r>
      <w:r w:rsidRPr="00804F51">
        <w:rPr>
          <w:rFonts w:ascii="Times New Roman" w:eastAsia="MS Gothic" w:hAnsi="Times New Roman"/>
          <w:i/>
          <w:sz w:val="20"/>
          <w:szCs w:val="20"/>
          <w:u w:val="single"/>
          <w:vertAlign w:val="superscript"/>
        </w:rPr>
        <w:t>a,b</w:t>
      </w:r>
      <w:proofErr w:type="spellEnd"/>
    </w:p>
    <w:p w:rsidR="00EF2333" w:rsidRPr="00804F51" w:rsidRDefault="00EF2333" w:rsidP="007E1402">
      <w:pPr>
        <w:jc w:val="center"/>
        <w:rPr>
          <w:rFonts w:ascii="Times New Roman" w:eastAsia="MS Gothic" w:hAnsi="Times New Roman"/>
          <w:sz w:val="20"/>
          <w:szCs w:val="20"/>
        </w:rPr>
      </w:pPr>
    </w:p>
    <w:p w:rsidR="007E1402" w:rsidRPr="00804F51" w:rsidRDefault="007E1402" w:rsidP="007E1402">
      <w:pPr>
        <w:jc w:val="center"/>
        <w:rPr>
          <w:rFonts w:ascii="Times New Roman" w:eastAsia="MS Gothic" w:hAnsi="Times New Roman"/>
          <w:sz w:val="20"/>
          <w:szCs w:val="20"/>
        </w:rPr>
      </w:pPr>
      <w:proofErr w:type="spellStart"/>
      <w:proofErr w:type="gramStart"/>
      <w:r w:rsidRPr="00804F51">
        <w:rPr>
          <w:rFonts w:ascii="Times New Roman" w:eastAsia="MS Gothic" w:hAnsi="Times New Roman"/>
          <w:sz w:val="20"/>
          <w:szCs w:val="20"/>
          <w:vertAlign w:val="superscript"/>
        </w:rPr>
        <w:t>a</w:t>
      </w:r>
      <w:r w:rsidRPr="00804F51">
        <w:rPr>
          <w:rFonts w:ascii="Times New Roman" w:eastAsia="MS Gothic" w:hAnsi="Times New Roman"/>
          <w:sz w:val="20"/>
          <w:szCs w:val="20"/>
        </w:rPr>
        <w:t>CSIRO</w:t>
      </w:r>
      <w:proofErr w:type="spellEnd"/>
      <w:proofErr w:type="gramEnd"/>
      <w:r w:rsidRPr="00804F51">
        <w:rPr>
          <w:rFonts w:ascii="Times New Roman" w:eastAsia="MS Gothic" w:hAnsi="Times New Roman"/>
          <w:sz w:val="20"/>
          <w:szCs w:val="20"/>
        </w:rPr>
        <w:t>, Clayton, VIC Australia.</w:t>
      </w:r>
    </w:p>
    <w:p w:rsidR="007E1402" w:rsidRPr="00804F51" w:rsidRDefault="007E1402" w:rsidP="007E1402">
      <w:pPr>
        <w:jc w:val="center"/>
        <w:rPr>
          <w:rFonts w:ascii="Times New Roman" w:eastAsia="MS Gothic" w:hAnsi="Times New Roman"/>
          <w:sz w:val="20"/>
          <w:szCs w:val="20"/>
        </w:rPr>
      </w:pPr>
      <w:proofErr w:type="spellStart"/>
      <w:proofErr w:type="gramStart"/>
      <w:r w:rsidRPr="00804F51">
        <w:rPr>
          <w:rFonts w:ascii="Times New Roman" w:eastAsia="MS Gothic" w:hAnsi="Times New Roman"/>
          <w:sz w:val="20"/>
          <w:szCs w:val="20"/>
          <w:vertAlign w:val="superscript"/>
        </w:rPr>
        <w:t>b</w:t>
      </w:r>
      <w:r w:rsidRPr="00804F51">
        <w:rPr>
          <w:rFonts w:ascii="Times New Roman" w:eastAsia="MS Gothic" w:hAnsi="Times New Roman"/>
          <w:sz w:val="20"/>
          <w:szCs w:val="20"/>
        </w:rPr>
        <w:t>Department</w:t>
      </w:r>
      <w:proofErr w:type="spellEnd"/>
      <w:proofErr w:type="gramEnd"/>
      <w:r w:rsidRPr="00804F51">
        <w:rPr>
          <w:rFonts w:ascii="Times New Roman" w:eastAsia="MS Gothic" w:hAnsi="Times New Roman"/>
          <w:sz w:val="20"/>
          <w:szCs w:val="20"/>
        </w:rPr>
        <w:t xml:space="preserve"> of Chemical Engineering, Monash U</w:t>
      </w:r>
      <w:bookmarkStart w:id="0" w:name="_GoBack"/>
      <w:bookmarkEnd w:id="0"/>
      <w:r w:rsidRPr="00804F51">
        <w:rPr>
          <w:rFonts w:ascii="Times New Roman" w:eastAsia="MS Gothic" w:hAnsi="Times New Roman"/>
          <w:sz w:val="20"/>
          <w:szCs w:val="20"/>
        </w:rPr>
        <w:t>niversity, Clayton VIC, Australia.</w:t>
      </w:r>
    </w:p>
    <w:p w:rsidR="007E1402" w:rsidRPr="00804F51" w:rsidRDefault="007E1402" w:rsidP="007E1402">
      <w:pPr>
        <w:jc w:val="center"/>
        <w:rPr>
          <w:rFonts w:ascii="Times New Roman" w:eastAsia="MS Gothic" w:hAnsi="Times New Roman"/>
          <w:sz w:val="20"/>
          <w:szCs w:val="20"/>
        </w:rPr>
      </w:pPr>
      <w:proofErr w:type="spellStart"/>
      <w:proofErr w:type="gramStart"/>
      <w:r w:rsidRPr="00804F51">
        <w:rPr>
          <w:rFonts w:ascii="Times New Roman" w:eastAsia="MS Gothic" w:hAnsi="Times New Roman"/>
          <w:sz w:val="20"/>
          <w:szCs w:val="20"/>
          <w:vertAlign w:val="superscript"/>
        </w:rPr>
        <w:t>c</w:t>
      </w:r>
      <w:r w:rsidRPr="00804F51">
        <w:rPr>
          <w:rFonts w:ascii="Times New Roman" w:eastAsia="MS Gothic" w:hAnsi="Times New Roman"/>
          <w:sz w:val="20"/>
          <w:szCs w:val="20"/>
        </w:rPr>
        <w:t>Department</w:t>
      </w:r>
      <w:proofErr w:type="spellEnd"/>
      <w:proofErr w:type="gramEnd"/>
      <w:r w:rsidRPr="00804F51">
        <w:rPr>
          <w:rFonts w:ascii="Times New Roman" w:eastAsia="MS Gothic" w:hAnsi="Times New Roman"/>
          <w:sz w:val="20"/>
          <w:szCs w:val="20"/>
        </w:rPr>
        <w:t xml:space="preserve"> of Chemistry, University of Edinburgh, Scotland.</w:t>
      </w:r>
    </w:p>
    <w:p w:rsidR="00EF2333" w:rsidRPr="00804F51" w:rsidRDefault="00EF2333" w:rsidP="00EF2333">
      <w:pPr>
        <w:snapToGrid w:val="0"/>
        <w:ind w:firstLineChars="100" w:firstLine="200"/>
        <w:rPr>
          <w:rFonts w:ascii="Times New Roman" w:eastAsia="MS Gothic" w:hAnsi="Times New Roman"/>
          <w:sz w:val="20"/>
          <w:szCs w:val="20"/>
          <w:lang w:val="en-GB"/>
        </w:rPr>
      </w:pPr>
    </w:p>
    <w:p w:rsidR="00EF2333" w:rsidRPr="00804F51" w:rsidRDefault="00EF2333" w:rsidP="00EF2333">
      <w:pPr>
        <w:snapToGrid w:val="0"/>
        <w:rPr>
          <w:rFonts w:ascii="Times New Roman" w:eastAsia="MS Gothic" w:hAnsi="Times New Roman"/>
          <w:b/>
          <w:sz w:val="20"/>
          <w:szCs w:val="20"/>
          <w:lang w:val="en-GB"/>
        </w:rPr>
      </w:pPr>
      <w:r w:rsidRPr="00804F51">
        <w:rPr>
          <w:rFonts w:ascii="Times New Roman" w:eastAsia="MS Gothic" w:hAnsi="Times New Roman"/>
          <w:b/>
          <w:sz w:val="20"/>
          <w:szCs w:val="20"/>
          <w:lang w:val="en-GB"/>
        </w:rPr>
        <w:t>Abstract</w:t>
      </w:r>
    </w:p>
    <w:p w:rsidR="007E1402" w:rsidRPr="00804F51" w:rsidRDefault="007E1402" w:rsidP="00EF2333">
      <w:pPr>
        <w:snapToGrid w:val="0"/>
        <w:rPr>
          <w:rFonts w:ascii="Times New Roman" w:eastAsia="MS Gothic" w:hAnsi="Times New Roman"/>
          <w:b/>
          <w:sz w:val="20"/>
          <w:szCs w:val="20"/>
          <w:lang w:val="en-GB"/>
        </w:rPr>
      </w:pPr>
    </w:p>
    <w:p w:rsidR="007E1402" w:rsidRPr="00804F51" w:rsidRDefault="007E1402" w:rsidP="007E1402">
      <w:pPr>
        <w:pStyle w:val="AbstractSummary"/>
        <w:spacing w:before="0"/>
        <w:jc w:val="both"/>
        <w:rPr>
          <w:sz w:val="20"/>
          <w:szCs w:val="20"/>
        </w:rPr>
      </w:pPr>
      <w:r w:rsidRPr="00804F51">
        <w:rPr>
          <w:sz w:val="20"/>
          <w:szCs w:val="20"/>
        </w:rPr>
        <w:t xml:space="preserve">Aging in super-glassy polymers such as </w:t>
      </w:r>
      <w:proofErr w:type="gramStart"/>
      <w:r w:rsidRPr="00804F51">
        <w:rPr>
          <w:sz w:val="20"/>
          <w:szCs w:val="20"/>
        </w:rPr>
        <w:t>poly(</w:t>
      </w:r>
      <w:proofErr w:type="spellStart"/>
      <w:proofErr w:type="gramEnd"/>
      <w:r w:rsidRPr="00804F51">
        <w:rPr>
          <w:sz w:val="20"/>
          <w:szCs w:val="20"/>
        </w:rPr>
        <w:t>trimethylsilylpropyne</w:t>
      </w:r>
      <w:proofErr w:type="spellEnd"/>
      <w:r w:rsidRPr="00804F51">
        <w:rPr>
          <w:sz w:val="20"/>
          <w:szCs w:val="20"/>
        </w:rPr>
        <w:t xml:space="preserve">) (PTMSP) prohibits it from being used in polymer membranes for separating gas mixtures.  While these polymers are initially very porous and large amounts of gas can selectively pass through them, they quickly pack into a denser phase becoming much less porous and permeable.  This age-old problem has been solved by the use of an </w:t>
      </w:r>
      <w:proofErr w:type="spellStart"/>
      <w:r w:rsidRPr="00804F51">
        <w:rPr>
          <w:sz w:val="20"/>
          <w:szCs w:val="20"/>
        </w:rPr>
        <w:t>ultraporous</w:t>
      </w:r>
      <w:proofErr w:type="spellEnd"/>
      <w:r w:rsidRPr="00804F51">
        <w:rPr>
          <w:sz w:val="20"/>
          <w:szCs w:val="20"/>
        </w:rPr>
        <w:t xml:space="preserve"> additive that allows PTMSP to maintain its low-density, porous initial state by absorbing a portion of the polymer chains within its pores, and holding them in position.  This is the first time that this aging process has been stopped in PTMSP without diminishing its properties when prepared as a gas separation membrane.  In fact, the membrane properties are enhanced with an additive, and over approximately one year of long-term measurements show that the performance is maintained.  </w:t>
      </w:r>
    </w:p>
    <w:p w:rsidR="007E1402" w:rsidRPr="00804F51" w:rsidRDefault="007E1402" w:rsidP="007E1402">
      <w:pPr>
        <w:pStyle w:val="AbstractSummary"/>
        <w:spacing w:before="0"/>
        <w:jc w:val="both"/>
        <w:rPr>
          <w:sz w:val="20"/>
          <w:szCs w:val="20"/>
        </w:rPr>
      </w:pPr>
    </w:p>
    <w:p w:rsidR="007E1402" w:rsidRPr="00804F51" w:rsidRDefault="007E1402" w:rsidP="007E1402">
      <w:pPr>
        <w:pStyle w:val="Paragraph"/>
        <w:spacing w:before="0"/>
        <w:ind w:firstLine="0"/>
        <w:jc w:val="both"/>
        <w:rPr>
          <w:sz w:val="20"/>
          <w:szCs w:val="20"/>
        </w:rPr>
      </w:pPr>
      <w:r w:rsidRPr="00804F51">
        <w:rPr>
          <w:sz w:val="20"/>
          <w:szCs w:val="20"/>
        </w:rPr>
        <w:t xml:space="preserve">The addition of a very specific porous </w:t>
      </w:r>
      <w:proofErr w:type="spellStart"/>
      <w:r w:rsidRPr="00804F51">
        <w:rPr>
          <w:sz w:val="20"/>
          <w:szCs w:val="20"/>
        </w:rPr>
        <w:t>microparticle</w:t>
      </w:r>
      <w:proofErr w:type="spellEnd"/>
      <w:r w:rsidRPr="00804F51">
        <w:rPr>
          <w:sz w:val="20"/>
          <w:szCs w:val="20"/>
        </w:rPr>
        <w:t xml:space="preserve"> forms an interwoven nanocomposite with PTMSP, freezing the structure and hence stopping the aging process, but doing so whilst increasing the permeability and maintaining the selectivity.  Porous Aromatic Frameworks (PAFs) are carbon-based structures formed by the self-condensation of tetrahedral monomer nodes to establish an </w:t>
      </w:r>
      <w:proofErr w:type="spellStart"/>
      <w:r w:rsidRPr="00804F51">
        <w:rPr>
          <w:sz w:val="20"/>
          <w:szCs w:val="20"/>
        </w:rPr>
        <w:t>ultraporous</w:t>
      </w:r>
      <w:proofErr w:type="spellEnd"/>
      <w:r w:rsidRPr="00804F51">
        <w:rPr>
          <w:sz w:val="20"/>
          <w:szCs w:val="20"/>
        </w:rPr>
        <w:t xml:space="preserve"> array.  The regular </w:t>
      </w:r>
      <w:proofErr w:type="spellStart"/>
      <w:r w:rsidRPr="00804F51">
        <w:rPr>
          <w:sz w:val="20"/>
          <w:szCs w:val="20"/>
        </w:rPr>
        <w:t>nanopores</w:t>
      </w:r>
      <w:proofErr w:type="spellEnd"/>
      <w:r w:rsidRPr="00804F51">
        <w:rPr>
          <w:sz w:val="20"/>
          <w:szCs w:val="20"/>
        </w:rPr>
        <w:t xml:space="preserve"> of around 1.2 nm diameter are attractive for the intercalation of polymer side-chain components when incorporated within the PTMSP matrix, thereby freezing the as-cast lower-density polymer structure in place and stopping the aging process.  This mechanism is distinct from the enhanced permeability effect of non-porous nanoparticle</w:t>
      </w:r>
      <w:r w:rsidRPr="00804F51">
        <w:rPr>
          <w:i/>
          <w:sz w:val="20"/>
          <w:szCs w:val="20"/>
        </w:rPr>
        <w:t xml:space="preserve"> </w:t>
      </w:r>
      <w:r w:rsidRPr="00804F51">
        <w:rPr>
          <w:sz w:val="20"/>
          <w:szCs w:val="20"/>
        </w:rPr>
        <w:t xml:space="preserve">and porous nanoparticle additions to PTMSP that prop open the polymer chains at the nanoparticle/polymer boundary but do not prevent aging.  </w:t>
      </w:r>
    </w:p>
    <w:p w:rsidR="00EF2333" w:rsidRPr="00804F51" w:rsidRDefault="007E1402" w:rsidP="007E1402">
      <w:pPr>
        <w:snapToGrid w:val="0"/>
        <w:ind w:firstLineChars="100" w:firstLine="200"/>
        <w:jc w:val="center"/>
        <w:rPr>
          <w:rFonts w:ascii="Times New Roman" w:eastAsia="MS Gothic" w:hAnsi="Times New Roman"/>
          <w:sz w:val="20"/>
          <w:szCs w:val="20"/>
          <w:lang w:val="en-GB"/>
        </w:rPr>
      </w:pPr>
      <w:r w:rsidRPr="00804F51">
        <w:rPr>
          <w:rFonts w:ascii="Times New Roman" w:eastAsia="MS Gothic" w:hAnsi="Times New Roman"/>
          <w:noProof/>
          <w:sz w:val="20"/>
          <w:szCs w:val="20"/>
          <w:lang w:val="en-AU" w:eastAsia="en-AU"/>
        </w:rPr>
        <w:drawing>
          <wp:inline distT="0" distB="0" distL="0" distR="0">
            <wp:extent cx="4593590" cy="360498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png"/>
                    <pic:cNvPicPr/>
                  </pic:nvPicPr>
                  <pic:blipFill>
                    <a:blip r:embed="rId6">
                      <a:extLst>
                        <a:ext uri="{28A0092B-C50C-407E-A947-70E740481C1C}">
                          <a14:useLocalDpi xmlns:a14="http://schemas.microsoft.com/office/drawing/2010/main" val="0"/>
                        </a:ext>
                      </a:extLst>
                    </a:blip>
                    <a:stretch>
                      <a:fillRect/>
                    </a:stretch>
                  </pic:blipFill>
                  <pic:spPr>
                    <a:xfrm>
                      <a:off x="0" y="0"/>
                      <a:ext cx="4595606" cy="3606563"/>
                    </a:xfrm>
                    <a:prstGeom prst="rect">
                      <a:avLst/>
                    </a:prstGeom>
                  </pic:spPr>
                </pic:pic>
              </a:graphicData>
            </a:graphic>
          </wp:inline>
        </w:drawing>
      </w:r>
    </w:p>
    <w:p w:rsidR="004E1725" w:rsidRPr="00804F51" w:rsidRDefault="00EF2333" w:rsidP="007E1402">
      <w:pPr>
        <w:snapToGrid w:val="0"/>
        <w:ind w:firstLineChars="100" w:firstLine="201"/>
        <w:jc w:val="center"/>
        <w:rPr>
          <w:rFonts w:ascii="Times New Roman" w:eastAsia="MS Gothic" w:hAnsi="Times New Roman"/>
          <w:sz w:val="20"/>
          <w:szCs w:val="20"/>
          <w:lang w:val="en-GB"/>
        </w:rPr>
      </w:pPr>
      <w:r w:rsidRPr="00804F51">
        <w:rPr>
          <w:rFonts w:ascii="Times New Roman" w:eastAsia="MS Gothic" w:hAnsi="Times New Roman"/>
          <w:b/>
          <w:sz w:val="20"/>
          <w:szCs w:val="20"/>
          <w:lang w:val="en-GB"/>
        </w:rPr>
        <w:t>Figure 1.</w:t>
      </w:r>
      <w:r w:rsidRPr="00804F51">
        <w:rPr>
          <w:rFonts w:ascii="Times New Roman" w:eastAsia="MS Gothic" w:hAnsi="Times New Roman"/>
          <w:sz w:val="20"/>
          <w:szCs w:val="20"/>
          <w:lang w:val="en-GB"/>
        </w:rPr>
        <w:t xml:space="preserve"> </w:t>
      </w:r>
      <w:r w:rsidR="007E1402" w:rsidRPr="00804F51">
        <w:rPr>
          <w:rFonts w:ascii="Times New Roman" w:eastAsia="MS Gothic" w:hAnsi="Times New Roman"/>
          <w:sz w:val="20"/>
          <w:szCs w:val="20"/>
          <w:lang w:val="en-GB"/>
        </w:rPr>
        <w:t xml:space="preserve">Anti-aging and plasticisation resistance are now possible in mixed matrix membranes.  </w:t>
      </w:r>
    </w:p>
    <w:sectPr w:rsidR="004E1725" w:rsidRPr="00804F51" w:rsidSect="00E135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8" w:right="1418" w:bottom="1418" w:left="1418"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0BFC" w:rsidRDefault="00550BFC">
      <w:r>
        <w:separator/>
      </w:r>
    </w:p>
  </w:endnote>
  <w:endnote w:type="continuationSeparator" w:id="0">
    <w:p w:rsidR="00550BFC" w:rsidRDefault="00550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1B4" w:rsidRDefault="00550BF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1B4" w:rsidRDefault="00550BF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1B4" w:rsidRDefault="00550B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0BFC" w:rsidRDefault="00550BFC">
      <w:r>
        <w:separator/>
      </w:r>
    </w:p>
  </w:footnote>
  <w:footnote w:type="continuationSeparator" w:id="0">
    <w:p w:rsidR="00550BFC" w:rsidRDefault="00550B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1B4" w:rsidRDefault="00550B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1B4" w:rsidRDefault="00550B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1B4" w:rsidRDefault="00550B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333"/>
    <w:rsid w:val="000C2203"/>
    <w:rsid w:val="001E602B"/>
    <w:rsid w:val="003820EC"/>
    <w:rsid w:val="004E1725"/>
    <w:rsid w:val="00550BFC"/>
    <w:rsid w:val="005C7712"/>
    <w:rsid w:val="00642C55"/>
    <w:rsid w:val="007E1402"/>
    <w:rsid w:val="00804F51"/>
    <w:rsid w:val="008C494C"/>
    <w:rsid w:val="00944D79"/>
    <w:rsid w:val="00952B9B"/>
    <w:rsid w:val="009E0B48"/>
    <w:rsid w:val="00BB775C"/>
    <w:rsid w:val="00BC14D9"/>
    <w:rsid w:val="00EF1D27"/>
    <w:rsid w:val="00EF2333"/>
    <w:rsid w:val="00F94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682CC4-62B9-4226-A7EA-D1A2D689F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2333"/>
    <w:pPr>
      <w:widowControl w:val="0"/>
      <w:spacing w:after="0" w:line="240" w:lineRule="auto"/>
      <w:jc w:val="both"/>
    </w:pPr>
    <w:rPr>
      <w:rFonts w:ascii="Century" w:eastAsia="MS Mincho" w:hAnsi="Century" w:cs="Times New Roman"/>
      <w:kern w:val="2"/>
      <w:sz w:val="2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F2333"/>
    <w:rPr>
      <w:color w:val="0000FF"/>
      <w:u w:val="single"/>
    </w:rPr>
  </w:style>
  <w:style w:type="paragraph" w:styleId="Header">
    <w:name w:val="header"/>
    <w:basedOn w:val="Normal"/>
    <w:link w:val="HeaderChar"/>
    <w:uiPriority w:val="99"/>
    <w:semiHidden/>
    <w:unhideWhenUsed/>
    <w:rsid w:val="00EF2333"/>
    <w:pPr>
      <w:tabs>
        <w:tab w:val="center" w:pos="4252"/>
        <w:tab w:val="right" w:pos="8504"/>
      </w:tabs>
      <w:snapToGrid w:val="0"/>
    </w:pPr>
  </w:style>
  <w:style w:type="character" w:customStyle="1" w:styleId="HeaderChar">
    <w:name w:val="Header Char"/>
    <w:basedOn w:val="DefaultParagraphFont"/>
    <w:link w:val="Header"/>
    <w:uiPriority w:val="99"/>
    <w:semiHidden/>
    <w:rsid w:val="00EF2333"/>
    <w:rPr>
      <w:rFonts w:ascii="Century" w:eastAsia="MS Mincho" w:hAnsi="Century" w:cs="Times New Roman"/>
      <w:kern w:val="2"/>
      <w:sz w:val="21"/>
      <w:szCs w:val="24"/>
      <w:lang w:eastAsia="ja-JP"/>
    </w:rPr>
  </w:style>
  <w:style w:type="paragraph" w:styleId="Footer">
    <w:name w:val="footer"/>
    <w:basedOn w:val="Normal"/>
    <w:link w:val="FooterChar"/>
    <w:uiPriority w:val="99"/>
    <w:semiHidden/>
    <w:unhideWhenUsed/>
    <w:rsid w:val="00EF2333"/>
    <w:pPr>
      <w:tabs>
        <w:tab w:val="center" w:pos="4252"/>
        <w:tab w:val="right" w:pos="8504"/>
      </w:tabs>
      <w:snapToGrid w:val="0"/>
    </w:pPr>
  </w:style>
  <w:style w:type="character" w:customStyle="1" w:styleId="FooterChar">
    <w:name w:val="Footer Char"/>
    <w:basedOn w:val="DefaultParagraphFont"/>
    <w:link w:val="Footer"/>
    <w:uiPriority w:val="99"/>
    <w:semiHidden/>
    <w:rsid w:val="00EF2333"/>
    <w:rPr>
      <w:rFonts w:ascii="Century" w:eastAsia="MS Mincho" w:hAnsi="Century" w:cs="Times New Roman"/>
      <w:kern w:val="2"/>
      <w:sz w:val="21"/>
      <w:szCs w:val="24"/>
      <w:lang w:eastAsia="ja-JP"/>
    </w:rPr>
  </w:style>
  <w:style w:type="paragraph" w:customStyle="1" w:styleId="Paragraph">
    <w:name w:val="Paragraph"/>
    <w:basedOn w:val="Normal"/>
    <w:rsid w:val="007E1402"/>
    <w:pPr>
      <w:widowControl/>
      <w:spacing w:before="120"/>
      <w:ind w:firstLine="720"/>
      <w:jc w:val="left"/>
    </w:pPr>
    <w:rPr>
      <w:rFonts w:ascii="Times New Roman" w:eastAsia="Times New Roman" w:hAnsi="Times New Roman"/>
      <w:kern w:val="0"/>
      <w:sz w:val="24"/>
      <w:lang w:eastAsia="en-US"/>
    </w:rPr>
  </w:style>
  <w:style w:type="paragraph" w:customStyle="1" w:styleId="AbstractSummary">
    <w:name w:val="Abstract/Summary"/>
    <w:basedOn w:val="Normal"/>
    <w:rsid w:val="007E1402"/>
    <w:pPr>
      <w:widowControl/>
      <w:spacing w:before="120"/>
      <w:jc w:val="left"/>
    </w:pPr>
    <w:rPr>
      <w:rFonts w:ascii="Times New Roman" w:eastAsia="Times New Roman" w:hAnsi="Times New Roman"/>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164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L</dc:creator>
  <cp:keywords/>
  <dc:description/>
  <cp:lastModifiedBy>Hill, Matthew (Manufacturing, Clayton NHC)</cp:lastModifiedBy>
  <cp:revision>2</cp:revision>
  <dcterms:created xsi:type="dcterms:W3CDTF">2018-01-18T03:20:00Z</dcterms:created>
  <dcterms:modified xsi:type="dcterms:W3CDTF">2018-01-18T03:20:00Z</dcterms:modified>
</cp:coreProperties>
</file>