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1B5631" w14:textId="0C0BA909" w:rsidR="005F727F" w:rsidRPr="00F5720F" w:rsidRDefault="0014640E" w:rsidP="00332CDA">
      <w:pPr>
        <w:pStyle w:val="Heading1"/>
        <w:jc w:val="center"/>
        <w:rPr>
          <w:sz w:val="28"/>
          <w:szCs w:val="28"/>
        </w:rPr>
      </w:pPr>
      <w:r w:rsidRPr="00F5720F">
        <w:rPr>
          <w:sz w:val="28"/>
          <w:szCs w:val="28"/>
        </w:rPr>
        <w:t>Side Chain Rigidity and</w:t>
      </w:r>
      <w:r w:rsidR="005F727F" w:rsidRPr="00F5720F">
        <w:rPr>
          <w:sz w:val="28"/>
          <w:szCs w:val="28"/>
        </w:rPr>
        <w:t xml:space="preserve"> Backbone </w:t>
      </w:r>
      <w:r w:rsidRPr="00F5720F">
        <w:rPr>
          <w:sz w:val="28"/>
          <w:szCs w:val="28"/>
        </w:rPr>
        <w:t>Flexibility</w:t>
      </w:r>
      <w:r w:rsidR="005F727F" w:rsidRPr="00F5720F">
        <w:rPr>
          <w:sz w:val="28"/>
          <w:szCs w:val="28"/>
        </w:rPr>
        <w:t xml:space="preserve">: </w:t>
      </w:r>
      <w:r w:rsidR="008C12AC">
        <w:rPr>
          <w:sz w:val="28"/>
          <w:szCs w:val="28"/>
        </w:rPr>
        <w:t xml:space="preserve">New </w:t>
      </w:r>
      <w:r w:rsidR="0064126B">
        <w:rPr>
          <w:sz w:val="28"/>
          <w:szCs w:val="28"/>
        </w:rPr>
        <w:t xml:space="preserve">Microporous </w:t>
      </w:r>
      <w:r w:rsidR="008C12AC">
        <w:rPr>
          <w:sz w:val="28"/>
          <w:szCs w:val="28"/>
        </w:rPr>
        <w:t>Polymer</w:t>
      </w:r>
      <w:r w:rsidR="0064126B">
        <w:rPr>
          <w:sz w:val="28"/>
          <w:szCs w:val="28"/>
        </w:rPr>
        <w:t>s</w:t>
      </w:r>
      <w:r w:rsidR="008C12AC">
        <w:rPr>
          <w:sz w:val="28"/>
          <w:szCs w:val="28"/>
        </w:rPr>
        <w:t xml:space="preserve"> for </w:t>
      </w:r>
      <w:r w:rsidR="00332CDA" w:rsidRPr="00F5720F">
        <w:rPr>
          <w:sz w:val="28"/>
          <w:szCs w:val="28"/>
        </w:rPr>
        <w:t>Gas Separation</w:t>
      </w:r>
      <w:r w:rsidR="0064126B">
        <w:rPr>
          <w:sz w:val="28"/>
          <w:szCs w:val="28"/>
        </w:rPr>
        <w:t>s</w:t>
      </w:r>
    </w:p>
    <w:p w14:paraId="4AC64AA0" w14:textId="4901E4C8" w:rsidR="005F727F" w:rsidRPr="00F5720F" w:rsidRDefault="006C59B9" w:rsidP="005F727F">
      <w:pPr>
        <w:pStyle w:val="BBAuthorName"/>
        <w:rPr>
          <w:rStyle w:val="SubtleEmphasis"/>
          <w:sz w:val="20"/>
        </w:rPr>
      </w:pPr>
      <w:r>
        <w:rPr>
          <w:rStyle w:val="SubtleEmphasis"/>
          <w:sz w:val="20"/>
        </w:rPr>
        <w:t>F</w:t>
      </w:r>
      <w:r w:rsidR="005F727F" w:rsidRPr="00F5720F">
        <w:rPr>
          <w:rStyle w:val="SubtleEmphasis"/>
          <w:sz w:val="20"/>
        </w:rPr>
        <w:t>rancesco M. Benedetti</w:t>
      </w:r>
      <w:r>
        <w:rPr>
          <w:rStyle w:val="SubtleEmphasis"/>
          <w:sz w:val="20"/>
          <w:vertAlign w:val="superscript"/>
        </w:rPr>
        <w:t>a,b</w:t>
      </w:r>
      <w:r w:rsidR="005F727F" w:rsidRPr="00F5720F">
        <w:rPr>
          <w:rStyle w:val="SubtleEmphasis"/>
          <w:sz w:val="20"/>
        </w:rPr>
        <w:t>,</w:t>
      </w:r>
      <w:r>
        <w:rPr>
          <w:rStyle w:val="SubtleEmphasis"/>
          <w:sz w:val="20"/>
        </w:rPr>
        <w:t xml:space="preserve"> </w:t>
      </w:r>
      <w:r w:rsidRPr="00F5720F">
        <w:rPr>
          <w:rStyle w:val="SubtleEmphasis"/>
          <w:sz w:val="20"/>
        </w:rPr>
        <w:t>Yuan He</w:t>
      </w:r>
      <w:r>
        <w:rPr>
          <w:rStyle w:val="SubtleEmphasis"/>
          <w:sz w:val="20"/>
          <w:vertAlign w:val="superscript"/>
        </w:rPr>
        <w:t>c</w:t>
      </w:r>
      <w:r>
        <w:rPr>
          <w:rStyle w:val="SubtleEmphasis"/>
          <w:sz w:val="20"/>
        </w:rPr>
        <w:t>,</w:t>
      </w:r>
      <w:r w:rsidR="005F727F" w:rsidRPr="00F5720F">
        <w:rPr>
          <w:rStyle w:val="SubtleEmphasis"/>
          <w:sz w:val="20"/>
        </w:rPr>
        <w:t xml:space="preserve"> Sharon Lin</w:t>
      </w:r>
      <w:r>
        <w:rPr>
          <w:rStyle w:val="SubtleEmphasis"/>
          <w:sz w:val="20"/>
          <w:vertAlign w:val="superscript"/>
        </w:rPr>
        <w:t>a</w:t>
      </w:r>
      <w:r w:rsidR="005F727F" w:rsidRPr="00F5720F">
        <w:rPr>
          <w:rStyle w:val="SubtleEmphasis"/>
          <w:sz w:val="20"/>
        </w:rPr>
        <w:t>,</w:t>
      </w:r>
      <w:r w:rsidR="001B0A5D">
        <w:rPr>
          <w:rStyle w:val="SubtleEmphasis"/>
          <w:sz w:val="20"/>
        </w:rPr>
        <w:t xml:space="preserve"> Chao </w:t>
      </w:r>
      <w:r w:rsidR="001B0A5D" w:rsidRPr="001B0A5D">
        <w:rPr>
          <w:rStyle w:val="SubtleEmphasis"/>
          <w:sz w:val="20"/>
        </w:rPr>
        <w:t>Liu</w:t>
      </w:r>
      <w:r w:rsidR="001B0A5D">
        <w:rPr>
          <w:rStyle w:val="SubtleEmphasis"/>
          <w:sz w:val="20"/>
          <w:vertAlign w:val="superscript"/>
        </w:rPr>
        <w:t>d</w:t>
      </w:r>
      <w:r w:rsidR="001B0A5D" w:rsidRPr="001B0A5D">
        <w:rPr>
          <w:rStyle w:val="SubtleEmphasis"/>
          <w:sz w:val="20"/>
        </w:rPr>
        <w:t>, Yanchuan Zhao</w:t>
      </w:r>
      <w:r w:rsidR="001B0A5D">
        <w:rPr>
          <w:rStyle w:val="SubtleEmphasis"/>
          <w:sz w:val="20"/>
          <w:vertAlign w:val="superscript"/>
        </w:rPr>
        <w:t>d</w:t>
      </w:r>
      <w:r w:rsidR="001B0A5D" w:rsidRPr="001B0A5D">
        <w:rPr>
          <w:rStyle w:val="SubtleEmphasis"/>
          <w:sz w:val="20"/>
        </w:rPr>
        <w:t>,</w:t>
      </w:r>
      <w:r w:rsidR="001B0A5D">
        <w:rPr>
          <w:rStyle w:val="SubtleEmphasis"/>
          <w:sz w:val="20"/>
        </w:rPr>
        <w:t xml:space="preserve"> </w:t>
      </w:r>
      <w:r w:rsidR="00332CDA" w:rsidRPr="00F5720F">
        <w:rPr>
          <w:rStyle w:val="SubtleEmphasis"/>
          <w:sz w:val="20"/>
        </w:rPr>
        <w:t>M. Grazia De Angeli</w:t>
      </w:r>
      <w:r>
        <w:rPr>
          <w:rStyle w:val="SubtleEmphasis"/>
          <w:sz w:val="20"/>
        </w:rPr>
        <w:t>s</w:t>
      </w:r>
      <w:r>
        <w:rPr>
          <w:rStyle w:val="SubtleEmphasis"/>
          <w:sz w:val="20"/>
          <w:vertAlign w:val="superscript"/>
        </w:rPr>
        <w:t>b</w:t>
      </w:r>
      <w:r w:rsidR="00332CDA" w:rsidRPr="00F5720F">
        <w:rPr>
          <w:rStyle w:val="SubtleEmphasis"/>
          <w:sz w:val="20"/>
        </w:rPr>
        <w:t xml:space="preserve">, </w:t>
      </w:r>
      <w:r w:rsidR="005F727F" w:rsidRPr="00F5720F">
        <w:rPr>
          <w:rStyle w:val="SubtleEmphasis"/>
          <w:sz w:val="20"/>
        </w:rPr>
        <w:t>Timothy M. Swager</w:t>
      </w:r>
      <w:r>
        <w:rPr>
          <w:rStyle w:val="SubtleEmphasis"/>
          <w:sz w:val="20"/>
          <w:vertAlign w:val="superscript"/>
        </w:rPr>
        <w:t>c</w:t>
      </w:r>
      <w:r w:rsidR="005F727F" w:rsidRPr="00F5720F">
        <w:rPr>
          <w:rStyle w:val="SubtleEmphasis"/>
          <w:sz w:val="20"/>
        </w:rPr>
        <w:t xml:space="preserve"> and Zachary P. Smith</w:t>
      </w:r>
      <w:r>
        <w:rPr>
          <w:rStyle w:val="SubtleEmphasis"/>
          <w:sz w:val="20"/>
          <w:vertAlign w:val="superscript"/>
        </w:rPr>
        <w:t>a</w:t>
      </w:r>
    </w:p>
    <w:p w14:paraId="3F8A09A8" w14:textId="75D12E2B" w:rsidR="00332CDA" w:rsidRPr="00F5720F" w:rsidRDefault="006C59B9" w:rsidP="00332CDA">
      <w:pPr>
        <w:pStyle w:val="BBAuthorName"/>
        <w:spacing w:after="0"/>
        <w:rPr>
          <w:rStyle w:val="SubtleEmphasis"/>
          <w:rFonts w:ascii="Palatino Linotype" w:hAnsi="Palatino Linotype"/>
          <w:sz w:val="18"/>
          <w:szCs w:val="18"/>
        </w:rPr>
      </w:pPr>
      <w:r>
        <w:rPr>
          <w:rStyle w:val="SubtleEmphasis"/>
          <w:sz w:val="18"/>
          <w:szCs w:val="18"/>
          <w:vertAlign w:val="superscript"/>
        </w:rPr>
        <w:t>a</w:t>
      </w:r>
      <w:r w:rsidR="00332CDA" w:rsidRPr="00F5720F">
        <w:rPr>
          <w:rStyle w:val="SubtleEmphasis"/>
          <w:rFonts w:ascii="Palatino Linotype" w:hAnsi="Palatino Linotype"/>
          <w:sz w:val="18"/>
          <w:szCs w:val="18"/>
        </w:rPr>
        <w:t xml:space="preserve"> Department of Chemical Engineering, Massachusetts Institute of Technology, Cambridge, Massachusetts 02139, USA</w:t>
      </w:r>
    </w:p>
    <w:p w14:paraId="2DA13DEF" w14:textId="74E5256C" w:rsidR="00C300EE" w:rsidRDefault="006C59B9" w:rsidP="0014640E">
      <w:pPr>
        <w:pStyle w:val="BBAuthorName"/>
        <w:spacing w:after="0"/>
        <w:rPr>
          <w:rStyle w:val="SubtleEmphasis"/>
          <w:rFonts w:ascii="Palatino Linotype" w:hAnsi="Palatino Linotype"/>
          <w:sz w:val="18"/>
          <w:szCs w:val="18"/>
        </w:rPr>
      </w:pPr>
      <w:r>
        <w:rPr>
          <w:rStyle w:val="SubtleEmphasis"/>
          <w:rFonts w:ascii="Palatino Linotype" w:hAnsi="Palatino Linotype"/>
          <w:sz w:val="18"/>
          <w:szCs w:val="18"/>
          <w:vertAlign w:val="superscript"/>
        </w:rPr>
        <w:t>b</w:t>
      </w:r>
      <w:r w:rsidR="00332CDA" w:rsidRPr="00F5720F">
        <w:rPr>
          <w:rStyle w:val="SubtleEmphasis"/>
          <w:rFonts w:ascii="Palatino Linotype" w:hAnsi="Palatino Linotype"/>
          <w:sz w:val="18"/>
          <w:szCs w:val="18"/>
        </w:rPr>
        <w:t xml:space="preserve"> Department of Civil, Chemical, Environmental and Materials Engineering, University of Bologna, 40131 Bologna, Italy</w:t>
      </w:r>
    </w:p>
    <w:p w14:paraId="59C03AAB" w14:textId="68B29868" w:rsidR="006C59B9" w:rsidRPr="001B0A5D" w:rsidRDefault="006C59B9" w:rsidP="006C59B9">
      <w:pPr>
        <w:spacing w:before="0" w:after="0" w:line="240" w:lineRule="auto"/>
        <w:jc w:val="left"/>
        <w:rPr>
          <w:rStyle w:val="SubtleEmphasis"/>
          <w:sz w:val="18"/>
          <w:szCs w:val="18"/>
        </w:rPr>
      </w:pPr>
      <w:r w:rsidRPr="001B0A5D">
        <w:rPr>
          <w:rStyle w:val="SubtleEmphasis"/>
          <w:sz w:val="18"/>
          <w:szCs w:val="18"/>
          <w:vertAlign w:val="superscript"/>
        </w:rPr>
        <w:t>c</w:t>
      </w:r>
      <w:r w:rsidRPr="001B0A5D">
        <w:rPr>
          <w:rStyle w:val="SubtleEmphasis"/>
          <w:sz w:val="18"/>
          <w:szCs w:val="18"/>
        </w:rPr>
        <w:t xml:space="preserve"> Department of Chemistry, Massachusetts Institute of Technology, Cambridge, Massachusetts 02139, USA</w:t>
      </w:r>
    </w:p>
    <w:p w14:paraId="268DC020" w14:textId="5DCE6639" w:rsidR="001B0A5D" w:rsidRPr="001B0A5D" w:rsidRDefault="001B0A5D" w:rsidP="006C59B9">
      <w:pPr>
        <w:spacing w:before="0" w:after="0" w:line="240" w:lineRule="auto"/>
        <w:jc w:val="left"/>
        <w:rPr>
          <w:i/>
          <w:iCs/>
          <w:color w:val="404040" w:themeColor="text1" w:themeTint="BF"/>
          <w:sz w:val="18"/>
          <w:szCs w:val="18"/>
        </w:rPr>
      </w:pPr>
      <w:r w:rsidRPr="001B0A5D">
        <w:rPr>
          <w:rStyle w:val="SubtleEmphasis"/>
          <w:i w:val="0"/>
          <w:sz w:val="18"/>
          <w:szCs w:val="18"/>
          <w:vertAlign w:val="superscript"/>
        </w:rPr>
        <w:t>d</w:t>
      </w:r>
      <w:r w:rsidRPr="001B0A5D">
        <w:rPr>
          <w:rStyle w:val="SubtleEmphasis"/>
          <w:i w:val="0"/>
          <w:sz w:val="18"/>
          <w:szCs w:val="18"/>
        </w:rPr>
        <w:t xml:space="preserve"> </w:t>
      </w:r>
      <w:r w:rsidRPr="001B0A5D">
        <w:rPr>
          <w:i/>
          <w:color w:val="404040" w:themeColor="text1" w:themeTint="BF"/>
          <w:sz w:val="18"/>
          <w:szCs w:val="18"/>
          <w:lang w:eastAsia="zh-CN"/>
        </w:rPr>
        <w:t>Center for Excellence in Molecular Synthesis, Shanghai Institute of Organic Chemistry, Chinese Academy of Sciences, Shanghai 200032, China</w:t>
      </w:r>
    </w:p>
    <w:p w14:paraId="1DD1D3BE" w14:textId="77777777" w:rsidR="0014640E" w:rsidRPr="0014640E" w:rsidRDefault="0014640E" w:rsidP="0014640E">
      <w:pPr>
        <w:rPr>
          <w:sz w:val="18"/>
          <w:szCs w:val="18"/>
        </w:rPr>
      </w:pPr>
      <w:r w:rsidRPr="0014640E">
        <w:rPr>
          <w:sz w:val="18"/>
          <w:szCs w:val="18"/>
        </w:rPr>
        <w:t xml:space="preserve">Key Words: </w:t>
      </w:r>
      <w:r>
        <w:rPr>
          <w:sz w:val="18"/>
          <w:szCs w:val="18"/>
        </w:rPr>
        <w:t>Gas Separation, Porous Polymers, ROMP, Physical Aging, Plasticization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2"/>
      </w:tblGrid>
      <w:tr w:rsidR="00C300EE" w14:paraId="54F4A93D" w14:textId="77777777" w:rsidTr="00C300EE">
        <w:tc>
          <w:tcPr>
            <w:tcW w:w="9622" w:type="dxa"/>
          </w:tcPr>
          <w:p w14:paraId="15B4D24E" w14:textId="77777777" w:rsidR="00C300EE" w:rsidRDefault="00C300EE" w:rsidP="00C300EE">
            <w:pPr>
              <w:jc w:val="center"/>
              <w:rPr>
                <w:rStyle w:val="SubtleEmphasis"/>
                <w:i w:val="0"/>
                <w:sz w:val="20"/>
                <w:szCs w:val="20"/>
              </w:rPr>
            </w:pPr>
            <w:r>
              <w:rPr>
                <w:iCs/>
                <w:noProof/>
                <w:color w:val="404040" w:themeColor="text1" w:themeTint="BF"/>
                <w:sz w:val="20"/>
                <w:szCs w:val="20"/>
              </w:rPr>
              <w:drawing>
                <wp:inline distT="0" distB="0" distL="0" distR="0" wp14:anchorId="6000044B" wp14:editId="1243DE57">
                  <wp:extent cx="2015067" cy="1188705"/>
                  <wp:effectExtent l="0" t="0" r="444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81788" cy="1228065"/>
                          </a:xfrm>
                          <a:prstGeom prst="rect">
                            <a:avLst/>
                          </a:prstGeom>
                        </pic:spPr>
                      </pic:pic>
                    </a:graphicData>
                  </a:graphic>
                </wp:inline>
              </w:drawing>
            </w:r>
          </w:p>
        </w:tc>
      </w:tr>
    </w:tbl>
    <w:p w14:paraId="490D7E1F" w14:textId="17957E0A" w:rsidR="007D18FE" w:rsidRPr="0008657E" w:rsidRDefault="008C12AC" w:rsidP="005F727F">
      <w:pPr>
        <w:rPr>
          <w:sz w:val="20"/>
          <w:szCs w:val="20"/>
        </w:rPr>
      </w:pPr>
      <w:r>
        <w:rPr>
          <w:sz w:val="20"/>
          <w:szCs w:val="20"/>
        </w:rPr>
        <w:t>Polymeric</w:t>
      </w:r>
      <w:r w:rsidR="006C59B9">
        <w:rPr>
          <w:sz w:val="20"/>
          <w:szCs w:val="20"/>
        </w:rPr>
        <w:t xml:space="preserve"> </w:t>
      </w:r>
      <w:r>
        <w:rPr>
          <w:sz w:val="20"/>
          <w:szCs w:val="20"/>
        </w:rPr>
        <w:t>m</w:t>
      </w:r>
      <w:r w:rsidR="00C230B6" w:rsidRPr="00601C21">
        <w:rPr>
          <w:sz w:val="20"/>
          <w:szCs w:val="20"/>
        </w:rPr>
        <w:t>embrane</w:t>
      </w:r>
      <w:r>
        <w:rPr>
          <w:sz w:val="20"/>
          <w:szCs w:val="20"/>
        </w:rPr>
        <w:t>s</w:t>
      </w:r>
      <w:r w:rsidR="00C230B6" w:rsidRPr="00601C21">
        <w:rPr>
          <w:sz w:val="20"/>
          <w:szCs w:val="20"/>
        </w:rPr>
        <w:t xml:space="preserve"> represent a</w:t>
      </w:r>
      <w:r>
        <w:rPr>
          <w:sz w:val="20"/>
          <w:szCs w:val="20"/>
        </w:rPr>
        <w:t>n</w:t>
      </w:r>
      <w:r w:rsidR="00C230B6" w:rsidRPr="00601C21">
        <w:rPr>
          <w:sz w:val="20"/>
          <w:szCs w:val="20"/>
        </w:rPr>
        <w:t xml:space="preserve"> </w:t>
      </w:r>
      <w:r>
        <w:rPr>
          <w:sz w:val="20"/>
          <w:szCs w:val="20"/>
        </w:rPr>
        <w:t xml:space="preserve">energy-efficient </w:t>
      </w:r>
      <w:r w:rsidR="00C230B6" w:rsidRPr="00601C21">
        <w:rPr>
          <w:sz w:val="20"/>
          <w:szCs w:val="20"/>
        </w:rPr>
        <w:t>alternative</w:t>
      </w:r>
      <w:r w:rsidR="00C230B6">
        <w:rPr>
          <w:sz w:val="20"/>
          <w:szCs w:val="20"/>
        </w:rPr>
        <w:t xml:space="preserve"> </w:t>
      </w:r>
      <w:r>
        <w:rPr>
          <w:sz w:val="20"/>
          <w:szCs w:val="20"/>
        </w:rPr>
        <w:t xml:space="preserve">to traditional unit operations for </w:t>
      </w:r>
      <w:r w:rsidR="00C230B6">
        <w:rPr>
          <w:sz w:val="20"/>
          <w:szCs w:val="20"/>
        </w:rPr>
        <w:t>gas separation</w:t>
      </w:r>
      <w:r>
        <w:rPr>
          <w:sz w:val="20"/>
          <w:szCs w:val="20"/>
        </w:rPr>
        <w:t>s</w:t>
      </w:r>
      <w:r w:rsidR="00C230B6">
        <w:rPr>
          <w:sz w:val="20"/>
          <w:szCs w:val="20"/>
        </w:rPr>
        <w:t xml:space="preserve">. </w:t>
      </w:r>
      <w:r w:rsidR="0064126B">
        <w:rPr>
          <w:sz w:val="20"/>
          <w:szCs w:val="20"/>
        </w:rPr>
        <w:t>Within this field, polymers of intrinsic microporosity (P</w:t>
      </w:r>
      <w:bookmarkStart w:id="0" w:name="_GoBack"/>
      <w:bookmarkEnd w:id="0"/>
      <w:r w:rsidR="0064126B">
        <w:rPr>
          <w:sz w:val="20"/>
          <w:szCs w:val="20"/>
        </w:rPr>
        <w:t xml:space="preserve">IMs) have seen significant interest over the past 15 years, but their structures are exceedingly difficult to tune while still maintaining synthetic access to high molecular weights. Therefore, it is difficult to access new polymeric materials for PIMs made from traditional step polymerization mechanisms. </w:t>
      </w:r>
      <w:r w:rsidR="0008657E">
        <w:rPr>
          <w:sz w:val="20"/>
          <w:szCs w:val="20"/>
        </w:rPr>
        <w:t>Here</w:t>
      </w:r>
      <w:r w:rsidR="0064126B">
        <w:rPr>
          <w:sz w:val="20"/>
          <w:szCs w:val="20"/>
        </w:rPr>
        <w:t xml:space="preserve">in, </w:t>
      </w:r>
      <w:r w:rsidR="00C64331">
        <w:rPr>
          <w:sz w:val="20"/>
          <w:szCs w:val="20"/>
        </w:rPr>
        <w:t xml:space="preserve">we present </w:t>
      </w:r>
      <w:r w:rsidR="007D18FE" w:rsidRPr="005F727F">
        <w:rPr>
          <w:sz w:val="20"/>
          <w:szCs w:val="20"/>
        </w:rPr>
        <w:t xml:space="preserve">the synthesis and </w:t>
      </w:r>
      <w:r w:rsidR="00C64331">
        <w:rPr>
          <w:sz w:val="20"/>
          <w:szCs w:val="20"/>
        </w:rPr>
        <w:t xml:space="preserve">the </w:t>
      </w:r>
      <w:r w:rsidR="007D18FE" w:rsidRPr="005F727F">
        <w:rPr>
          <w:sz w:val="20"/>
          <w:szCs w:val="20"/>
        </w:rPr>
        <w:t xml:space="preserve">characterization of </w:t>
      </w:r>
      <w:r w:rsidR="00EB32EA">
        <w:rPr>
          <w:sz w:val="20"/>
          <w:szCs w:val="20"/>
        </w:rPr>
        <w:t>new</w:t>
      </w:r>
      <w:r w:rsidR="007D18FE" w:rsidRPr="005F727F">
        <w:rPr>
          <w:sz w:val="20"/>
          <w:szCs w:val="20"/>
        </w:rPr>
        <w:t xml:space="preserve"> porous</w:t>
      </w:r>
      <w:r w:rsidR="007D18FE">
        <w:rPr>
          <w:sz w:val="20"/>
          <w:szCs w:val="20"/>
        </w:rPr>
        <w:t xml:space="preserve"> polymer</w:t>
      </w:r>
      <w:r w:rsidR="00EB32EA">
        <w:rPr>
          <w:sz w:val="20"/>
          <w:szCs w:val="20"/>
        </w:rPr>
        <w:t>s</w:t>
      </w:r>
      <w:r w:rsidR="007D18FE">
        <w:rPr>
          <w:sz w:val="20"/>
          <w:szCs w:val="20"/>
        </w:rPr>
        <w:t xml:space="preserve"> obtained with a </w:t>
      </w:r>
      <w:r w:rsidR="007D18FE" w:rsidRPr="00C04231">
        <w:rPr>
          <w:sz w:val="20"/>
          <w:szCs w:val="20"/>
        </w:rPr>
        <w:t xml:space="preserve">novel </w:t>
      </w:r>
      <w:r w:rsidR="0064126B">
        <w:rPr>
          <w:sz w:val="20"/>
          <w:szCs w:val="20"/>
        </w:rPr>
        <w:t xml:space="preserve">reaction </w:t>
      </w:r>
      <w:r w:rsidR="007D18FE" w:rsidRPr="00C04231">
        <w:rPr>
          <w:sz w:val="20"/>
          <w:szCs w:val="20"/>
        </w:rPr>
        <w:t xml:space="preserve">scheme </w:t>
      </w:r>
      <w:r w:rsidR="007D18FE">
        <w:rPr>
          <w:sz w:val="20"/>
          <w:szCs w:val="20"/>
        </w:rPr>
        <w:t xml:space="preserve">based on </w:t>
      </w:r>
      <w:r w:rsidR="007D18FE" w:rsidRPr="00C04231">
        <w:rPr>
          <w:sz w:val="20"/>
          <w:szCs w:val="20"/>
        </w:rPr>
        <w:t>Ring Opening Metathesis Polymerization</w:t>
      </w:r>
      <w:r w:rsidR="007D18FE">
        <w:rPr>
          <w:sz w:val="20"/>
          <w:szCs w:val="20"/>
        </w:rPr>
        <w:t xml:space="preserve"> (ROMP)</w:t>
      </w:r>
      <w:r w:rsidR="00C205CE">
        <w:rPr>
          <w:sz w:val="20"/>
          <w:szCs w:val="20"/>
        </w:rPr>
        <w:t xml:space="preserve"> [1]</w:t>
      </w:r>
      <w:r w:rsidR="00C64331">
        <w:rPr>
          <w:sz w:val="20"/>
          <w:szCs w:val="20"/>
        </w:rPr>
        <w:t>.</w:t>
      </w:r>
      <w:r w:rsidR="0008657E">
        <w:rPr>
          <w:sz w:val="20"/>
          <w:szCs w:val="20"/>
        </w:rPr>
        <w:t xml:space="preserve"> While p</w:t>
      </w:r>
      <w:r w:rsidR="0008657E" w:rsidRPr="005F727F">
        <w:rPr>
          <w:sz w:val="20"/>
          <w:szCs w:val="20"/>
        </w:rPr>
        <w:t xml:space="preserve">reviously reported </w:t>
      </w:r>
      <w:r w:rsidR="0008657E">
        <w:rPr>
          <w:sz w:val="20"/>
          <w:szCs w:val="20"/>
        </w:rPr>
        <w:t>PIMs</w:t>
      </w:r>
      <w:r w:rsidR="0008657E" w:rsidRPr="005F727F">
        <w:rPr>
          <w:sz w:val="20"/>
          <w:szCs w:val="20"/>
        </w:rPr>
        <w:t xml:space="preserve"> are based on the desi</w:t>
      </w:r>
      <w:r w:rsidR="00E63A97">
        <w:rPr>
          <w:sz w:val="20"/>
          <w:szCs w:val="20"/>
        </w:rPr>
        <w:t xml:space="preserve">gn of 3D rigid and </w:t>
      </w:r>
      <w:r w:rsidR="0008657E" w:rsidRPr="005F727F">
        <w:rPr>
          <w:sz w:val="20"/>
          <w:szCs w:val="20"/>
        </w:rPr>
        <w:t>contorted backbones to prevent efficient packing</w:t>
      </w:r>
      <w:r w:rsidR="0008657E">
        <w:rPr>
          <w:sz w:val="20"/>
          <w:szCs w:val="20"/>
        </w:rPr>
        <w:t>,</w:t>
      </w:r>
      <w:r w:rsidR="00C64331">
        <w:rPr>
          <w:sz w:val="20"/>
          <w:szCs w:val="20"/>
        </w:rPr>
        <w:t xml:space="preserve"> </w:t>
      </w:r>
      <w:r w:rsidR="0008657E">
        <w:rPr>
          <w:sz w:val="20"/>
          <w:szCs w:val="20"/>
        </w:rPr>
        <w:t>t</w:t>
      </w:r>
      <w:r w:rsidR="006E0082">
        <w:rPr>
          <w:sz w:val="20"/>
          <w:szCs w:val="20"/>
        </w:rPr>
        <w:t>h</w:t>
      </w:r>
      <w:r w:rsidR="00E66C27">
        <w:rPr>
          <w:sz w:val="20"/>
          <w:szCs w:val="20"/>
        </w:rPr>
        <w:t>ese</w:t>
      </w:r>
      <w:r w:rsidR="006E0082">
        <w:rPr>
          <w:sz w:val="20"/>
          <w:szCs w:val="20"/>
        </w:rPr>
        <w:t xml:space="preserve"> </w:t>
      </w:r>
      <w:r w:rsidR="0008657E">
        <w:rPr>
          <w:sz w:val="20"/>
          <w:szCs w:val="20"/>
        </w:rPr>
        <w:t xml:space="preserve">ROMP </w:t>
      </w:r>
      <w:r w:rsidR="006E0082">
        <w:rPr>
          <w:sz w:val="20"/>
          <w:szCs w:val="20"/>
        </w:rPr>
        <w:t>polymer</w:t>
      </w:r>
      <w:r w:rsidR="00E66C27">
        <w:rPr>
          <w:sz w:val="20"/>
          <w:szCs w:val="20"/>
        </w:rPr>
        <w:t>s</w:t>
      </w:r>
      <w:r w:rsidR="006E0082">
        <w:rPr>
          <w:sz w:val="20"/>
          <w:szCs w:val="20"/>
        </w:rPr>
        <w:t xml:space="preserve"> consist of a unique morphology with a flexible backbone and rigid side-chains</w:t>
      </w:r>
      <w:r w:rsidR="00446D33">
        <w:rPr>
          <w:sz w:val="20"/>
          <w:szCs w:val="20"/>
        </w:rPr>
        <w:t>, as shown in the figure above</w:t>
      </w:r>
      <w:r w:rsidR="00E63A97">
        <w:rPr>
          <w:sz w:val="20"/>
          <w:szCs w:val="20"/>
        </w:rPr>
        <w:t>.</w:t>
      </w:r>
      <w:r w:rsidR="006E0082">
        <w:rPr>
          <w:sz w:val="20"/>
          <w:szCs w:val="20"/>
        </w:rPr>
        <w:t xml:space="preserve"> </w:t>
      </w:r>
      <w:r w:rsidR="00E63A97">
        <w:rPr>
          <w:sz w:val="20"/>
          <w:szCs w:val="20"/>
        </w:rPr>
        <w:t>Th</w:t>
      </w:r>
      <w:r w:rsidR="00204CD5">
        <w:rPr>
          <w:sz w:val="20"/>
          <w:szCs w:val="20"/>
        </w:rPr>
        <w:t>ese</w:t>
      </w:r>
      <w:r w:rsidR="00E63A97">
        <w:rPr>
          <w:sz w:val="20"/>
          <w:szCs w:val="20"/>
        </w:rPr>
        <w:t xml:space="preserve"> feature</w:t>
      </w:r>
      <w:r w:rsidR="00204CD5">
        <w:rPr>
          <w:sz w:val="20"/>
          <w:szCs w:val="20"/>
        </w:rPr>
        <w:t>s</w:t>
      </w:r>
      <w:r w:rsidR="006E0082">
        <w:rPr>
          <w:sz w:val="20"/>
          <w:szCs w:val="20"/>
        </w:rPr>
        <w:t xml:space="preserve"> </w:t>
      </w:r>
      <w:r w:rsidR="009D3EEF">
        <w:rPr>
          <w:sz w:val="20"/>
          <w:szCs w:val="20"/>
        </w:rPr>
        <w:t>enable</w:t>
      </w:r>
      <w:r w:rsidR="00E63A97">
        <w:rPr>
          <w:sz w:val="20"/>
          <w:szCs w:val="20"/>
        </w:rPr>
        <w:t xml:space="preserve"> the </w:t>
      </w:r>
      <w:r w:rsidR="00777194">
        <w:rPr>
          <w:sz w:val="20"/>
          <w:szCs w:val="20"/>
        </w:rPr>
        <w:t xml:space="preserve">formation of internal </w:t>
      </w:r>
      <w:r w:rsidR="00E63A97">
        <w:rPr>
          <w:sz w:val="20"/>
          <w:szCs w:val="20"/>
        </w:rPr>
        <w:t>porosity</w:t>
      </w:r>
      <w:r w:rsidR="00C205CE">
        <w:rPr>
          <w:sz w:val="20"/>
          <w:szCs w:val="20"/>
        </w:rPr>
        <w:t xml:space="preserve"> </w:t>
      </w:r>
      <w:r w:rsidR="00E63A97">
        <w:rPr>
          <w:sz w:val="20"/>
          <w:szCs w:val="20"/>
        </w:rPr>
        <w:t>(i.e.</w:t>
      </w:r>
      <w:r w:rsidR="00777194">
        <w:rPr>
          <w:sz w:val="20"/>
          <w:szCs w:val="20"/>
        </w:rPr>
        <w:t>,</w:t>
      </w:r>
      <w:r w:rsidR="00C205CE">
        <w:rPr>
          <w:sz w:val="20"/>
          <w:szCs w:val="20"/>
        </w:rPr>
        <w:t xml:space="preserve"> BET </w:t>
      </w:r>
      <w:r w:rsidR="00EB32EA">
        <w:rPr>
          <w:sz w:val="20"/>
          <w:szCs w:val="20"/>
        </w:rPr>
        <w:t xml:space="preserve">internal </w:t>
      </w:r>
      <w:r w:rsidR="00C205CE">
        <w:rPr>
          <w:sz w:val="20"/>
          <w:szCs w:val="20"/>
        </w:rPr>
        <w:t>surface area</w:t>
      </w:r>
      <w:r w:rsidR="00EB32EA">
        <w:rPr>
          <w:sz w:val="20"/>
          <w:szCs w:val="20"/>
        </w:rPr>
        <w:t>s up to</w:t>
      </w:r>
      <w:r w:rsidR="00C205CE">
        <w:rPr>
          <w:sz w:val="20"/>
          <w:szCs w:val="20"/>
        </w:rPr>
        <w:t xml:space="preserve"> 780 m</w:t>
      </w:r>
      <w:r w:rsidR="00C205CE">
        <w:rPr>
          <w:sz w:val="20"/>
          <w:szCs w:val="20"/>
          <w:vertAlign w:val="superscript"/>
        </w:rPr>
        <w:t>2</w:t>
      </w:r>
      <w:r w:rsidR="00C205CE">
        <w:rPr>
          <w:sz w:val="20"/>
          <w:szCs w:val="20"/>
        </w:rPr>
        <w:t>/g</w:t>
      </w:r>
      <w:r w:rsidR="00E63A97">
        <w:rPr>
          <w:sz w:val="20"/>
          <w:szCs w:val="20"/>
        </w:rPr>
        <w:t>)</w:t>
      </w:r>
      <w:r w:rsidR="00C205CE">
        <w:rPr>
          <w:sz w:val="20"/>
          <w:szCs w:val="20"/>
        </w:rPr>
        <w:t xml:space="preserve"> and</w:t>
      </w:r>
      <w:r w:rsidR="00DD2821">
        <w:rPr>
          <w:sz w:val="20"/>
          <w:szCs w:val="20"/>
        </w:rPr>
        <w:t xml:space="preserve"> extraordinary gas transport </w:t>
      </w:r>
      <w:r w:rsidR="00E63A97">
        <w:rPr>
          <w:sz w:val="20"/>
          <w:szCs w:val="20"/>
        </w:rPr>
        <w:t>properties</w:t>
      </w:r>
      <w:r w:rsidR="00DD2821">
        <w:rPr>
          <w:sz w:val="20"/>
          <w:szCs w:val="20"/>
        </w:rPr>
        <w:t>.</w:t>
      </w:r>
      <w:r w:rsidR="00AC78AD">
        <w:rPr>
          <w:sz w:val="20"/>
          <w:szCs w:val="20"/>
        </w:rPr>
        <w:t xml:space="preserve"> </w:t>
      </w:r>
      <w:r w:rsidR="00446D33">
        <w:rPr>
          <w:sz w:val="20"/>
          <w:szCs w:val="20"/>
        </w:rPr>
        <w:t>U</w:t>
      </w:r>
      <w:r w:rsidR="00AC78AD" w:rsidRPr="005F727F">
        <w:rPr>
          <w:sz w:val="20"/>
          <w:szCs w:val="20"/>
        </w:rPr>
        <w:t>ltrahigh CO</w:t>
      </w:r>
      <w:r w:rsidR="00AC78AD" w:rsidRPr="005F727F">
        <w:rPr>
          <w:sz w:val="20"/>
          <w:szCs w:val="20"/>
          <w:vertAlign w:val="subscript"/>
        </w:rPr>
        <w:t>2</w:t>
      </w:r>
      <w:r w:rsidR="00AC78AD" w:rsidRPr="005F727F">
        <w:rPr>
          <w:sz w:val="20"/>
          <w:szCs w:val="20"/>
        </w:rPr>
        <w:t xml:space="preserve"> </w:t>
      </w:r>
      <w:r w:rsidR="00AC78AD">
        <w:rPr>
          <w:sz w:val="20"/>
          <w:szCs w:val="20"/>
        </w:rPr>
        <w:t>and H</w:t>
      </w:r>
      <w:r w:rsidR="00AC78AD">
        <w:rPr>
          <w:sz w:val="20"/>
          <w:szCs w:val="20"/>
          <w:vertAlign w:val="subscript"/>
        </w:rPr>
        <w:t>2</w:t>
      </w:r>
      <w:r w:rsidR="00446D33">
        <w:rPr>
          <w:sz w:val="20"/>
          <w:szCs w:val="20"/>
        </w:rPr>
        <w:t xml:space="preserve"> permeability</w:t>
      </w:r>
      <w:r w:rsidR="00C205CE">
        <w:rPr>
          <w:sz w:val="20"/>
          <w:szCs w:val="20"/>
        </w:rPr>
        <w:t xml:space="preserve"> values</w:t>
      </w:r>
      <w:r w:rsidR="00AC78AD">
        <w:rPr>
          <w:sz w:val="20"/>
          <w:szCs w:val="20"/>
        </w:rPr>
        <w:t xml:space="preserve">, </w:t>
      </w:r>
      <w:r w:rsidR="00AC78AD" w:rsidRPr="00E66C27">
        <w:rPr>
          <w:sz w:val="20"/>
          <w:szCs w:val="20"/>
        </w:rPr>
        <w:t>higher than 18,</w:t>
      </w:r>
      <w:r w:rsidR="001D2FEC">
        <w:rPr>
          <w:sz w:val="20"/>
          <w:szCs w:val="20"/>
        </w:rPr>
        <w:t>4</w:t>
      </w:r>
      <w:r w:rsidR="00AC78AD" w:rsidRPr="00E66C27">
        <w:rPr>
          <w:sz w:val="20"/>
          <w:szCs w:val="20"/>
        </w:rPr>
        <w:t>00 and 8,300 Barrer respectively,</w:t>
      </w:r>
      <w:r w:rsidR="00AC78AD" w:rsidRPr="00204CD5">
        <w:rPr>
          <w:sz w:val="20"/>
          <w:szCs w:val="20"/>
        </w:rPr>
        <w:t xml:space="preserve"> </w:t>
      </w:r>
      <w:r w:rsidR="00C205CE">
        <w:rPr>
          <w:sz w:val="20"/>
          <w:szCs w:val="20"/>
        </w:rPr>
        <w:t xml:space="preserve">were </w:t>
      </w:r>
      <w:r w:rsidR="005161B6">
        <w:rPr>
          <w:sz w:val="20"/>
          <w:szCs w:val="20"/>
        </w:rPr>
        <w:t xml:space="preserve">measured on self-standing </w:t>
      </w:r>
      <w:r w:rsidR="00AB183F">
        <w:rPr>
          <w:sz w:val="20"/>
          <w:szCs w:val="20"/>
        </w:rPr>
        <w:t xml:space="preserve">thick </w:t>
      </w:r>
      <w:r w:rsidR="005161B6">
        <w:rPr>
          <w:sz w:val="20"/>
          <w:szCs w:val="20"/>
        </w:rPr>
        <w:t>films</w:t>
      </w:r>
      <w:r w:rsidR="00FF0F14">
        <w:rPr>
          <w:sz w:val="20"/>
          <w:szCs w:val="20"/>
        </w:rPr>
        <w:t xml:space="preserve">. Additionally, </w:t>
      </w:r>
      <w:r w:rsidR="00AC78AD" w:rsidRPr="005F727F">
        <w:rPr>
          <w:sz w:val="20"/>
          <w:szCs w:val="20"/>
        </w:rPr>
        <w:t>st</w:t>
      </w:r>
      <w:r w:rsidR="00AC78AD">
        <w:rPr>
          <w:sz w:val="20"/>
          <w:szCs w:val="20"/>
        </w:rPr>
        <w:t xml:space="preserve">rong </w:t>
      </w:r>
      <w:r w:rsidR="00204CD5">
        <w:rPr>
          <w:sz w:val="20"/>
          <w:szCs w:val="20"/>
        </w:rPr>
        <w:t xml:space="preserve">resistance to </w:t>
      </w:r>
      <w:r w:rsidR="00AC78AD">
        <w:rPr>
          <w:sz w:val="20"/>
          <w:szCs w:val="20"/>
        </w:rPr>
        <w:t>CO</w:t>
      </w:r>
      <w:r w:rsidR="00AC78AD">
        <w:rPr>
          <w:sz w:val="20"/>
          <w:szCs w:val="20"/>
          <w:vertAlign w:val="subscript"/>
        </w:rPr>
        <w:t>2</w:t>
      </w:r>
      <w:r w:rsidR="00AC78AD">
        <w:rPr>
          <w:sz w:val="20"/>
          <w:szCs w:val="20"/>
        </w:rPr>
        <w:t xml:space="preserve">-induced plasticization </w:t>
      </w:r>
      <w:r w:rsidR="00FF0F14">
        <w:rPr>
          <w:sz w:val="20"/>
          <w:szCs w:val="20"/>
        </w:rPr>
        <w:t xml:space="preserve">was observed </w:t>
      </w:r>
      <w:r w:rsidR="00777194">
        <w:rPr>
          <w:sz w:val="20"/>
          <w:szCs w:val="20"/>
        </w:rPr>
        <w:t xml:space="preserve">when </w:t>
      </w:r>
      <w:r w:rsidR="00AC78AD">
        <w:rPr>
          <w:sz w:val="20"/>
          <w:szCs w:val="20"/>
        </w:rPr>
        <w:t>compared to other high</w:t>
      </w:r>
      <w:r w:rsidR="00777194">
        <w:rPr>
          <w:sz w:val="20"/>
          <w:szCs w:val="20"/>
        </w:rPr>
        <w:t xml:space="preserve">ly </w:t>
      </w:r>
      <w:r w:rsidR="00AC78AD">
        <w:rPr>
          <w:sz w:val="20"/>
          <w:szCs w:val="20"/>
        </w:rPr>
        <w:t>permeable materials</w:t>
      </w:r>
      <w:r w:rsidR="00C205CE">
        <w:rPr>
          <w:sz w:val="20"/>
          <w:szCs w:val="20"/>
        </w:rPr>
        <w:t xml:space="preserve"> like PIM-1 and PTMSP</w:t>
      </w:r>
      <w:r w:rsidR="00AC78AD">
        <w:rPr>
          <w:sz w:val="20"/>
          <w:szCs w:val="20"/>
        </w:rPr>
        <w:t>.</w:t>
      </w:r>
      <w:r w:rsidR="00C205CE">
        <w:rPr>
          <w:sz w:val="20"/>
          <w:szCs w:val="20"/>
        </w:rPr>
        <w:t xml:space="preserve"> </w:t>
      </w:r>
      <w:r w:rsidR="00777194">
        <w:rPr>
          <w:sz w:val="20"/>
          <w:szCs w:val="20"/>
        </w:rPr>
        <w:t xml:space="preserve">Moreover, </w:t>
      </w:r>
      <w:r w:rsidR="0008657E">
        <w:rPr>
          <w:sz w:val="20"/>
          <w:szCs w:val="20"/>
        </w:rPr>
        <w:t>physical aging studies</w:t>
      </w:r>
      <w:r w:rsidR="00777194">
        <w:rPr>
          <w:sz w:val="20"/>
          <w:szCs w:val="20"/>
        </w:rPr>
        <w:t xml:space="preserve"> </w:t>
      </w:r>
      <w:r w:rsidR="00E63A97">
        <w:rPr>
          <w:sz w:val="20"/>
          <w:szCs w:val="20"/>
        </w:rPr>
        <w:t xml:space="preserve">shown </w:t>
      </w:r>
      <w:r w:rsidR="0008657E">
        <w:rPr>
          <w:sz w:val="20"/>
          <w:szCs w:val="20"/>
        </w:rPr>
        <w:t xml:space="preserve">slightly lower </w:t>
      </w:r>
      <w:r w:rsidR="0008657E" w:rsidRPr="005F727F">
        <w:rPr>
          <w:sz w:val="20"/>
          <w:szCs w:val="20"/>
        </w:rPr>
        <w:t>aging rates</w:t>
      </w:r>
      <w:r w:rsidR="0008657E">
        <w:rPr>
          <w:sz w:val="20"/>
          <w:szCs w:val="20"/>
        </w:rPr>
        <w:t xml:space="preserve"> </w:t>
      </w:r>
      <w:r w:rsidR="00777194">
        <w:rPr>
          <w:sz w:val="20"/>
          <w:szCs w:val="20"/>
        </w:rPr>
        <w:t xml:space="preserve">than PIM-1 </w:t>
      </w:r>
      <w:r w:rsidR="00FF0F14">
        <w:rPr>
          <w:sz w:val="20"/>
          <w:szCs w:val="20"/>
        </w:rPr>
        <w:t xml:space="preserve">for </w:t>
      </w:r>
      <w:r w:rsidR="00777194">
        <w:rPr>
          <w:sz w:val="20"/>
          <w:szCs w:val="20"/>
        </w:rPr>
        <w:t xml:space="preserve">over </w:t>
      </w:r>
      <w:r w:rsidR="0008657E" w:rsidRPr="00E66C27">
        <w:rPr>
          <w:sz w:val="20"/>
          <w:szCs w:val="20"/>
        </w:rPr>
        <w:t>2,000 hrs</w:t>
      </w:r>
      <w:r w:rsidR="0008657E">
        <w:rPr>
          <w:sz w:val="20"/>
          <w:szCs w:val="20"/>
        </w:rPr>
        <w:t xml:space="preserve">. </w:t>
      </w:r>
      <w:r w:rsidR="00946794">
        <w:rPr>
          <w:sz w:val="20"/>
          <w:szCs w:val="20"/>
        </w:rPr>
        <w:t xml:space="preserve">The flexibility of </w:t>
      </w:r>
      <w:r w:rsidR="00777194">
        <w:rPr>
          <w:sz w:val="20"/>
          <w:szCs w:val="20"/>
        </w:rPr>
        <w:t xml:space="preserve">this </w:t>
      </w:r>
      <w:r w:rsidR="00946794">
        <w:rPr>
          <w:sz w:val="20"/>
          <w:szCs w:val="20"/>
        </w:rPr>
        <w:t xml:space="preserve">ROMP chemistry </w:t>
      </w:r>
      <w:r w:rsidR="00777194">
        <w:rPr>
          <w:sz w:val="20"/>
          <w:szCs w:val="20"/>
        </w:rPr>
        <w:t>permits</w:t>
      </w:r>
      <w:r w:rsidR="00946794">
        <w:rPr>
          <w:sz w:val="20"/>
          <w:szCs w:val="20"/>
        </w:rPr>
        <w:t xml:space="preserve"> the synthesis of</w:t>
      </w:r>
      <w:r w:rsidR="00777194">
        <w:rPr>
          <w:sz w:val="20"/>
          <w:szCs w:val="20"/>
        </w:rPr>
        <w:t xml:space="preserve"> a variety of structural </w:t>
      </w:r>
      <w:r w:rsidR="00FF0F14">
        <w:rPr>
          <w:sz w:val="20"/>
          <w:szCs w:val="20"/>
        </w:rPr>
        <w:t>variants</w:t>
      </w:r>
      <w:r w:rsidR="00777194">
        <w:rPr>
          <w:sz w:val="20"/>
          <w:szCs w:val="20"/>
        </w:rPr>
        <w:t xml:space="preserve">. In one example, we investigate a structure-property study between a </w:t>
      </w:r>
      <w:r w:rsidR="00946794">
        <w:rPr>
          <w:sz w:val="20"/>
          <w:szCs w:val="20"/>
        </w:rPr>
        <w:t>bulkier CF</w:t>
      </w:r>
      <w:r w:rsidR="00946794">
        <w:rPr>
          <w:sz w:val="20"/>
          <w:szCs w:val="20"/>
          <w:vertAlign w:val="subscript"/>
        </w:rPr>
        <w:t>3</w:t>
      </w:r>
      <w:r w:rsidR="00777194">
        <w:rPr>
          <w:sz w:val="20"/>
          <w:szCs w:val="20"/>
        </w:rPr>
        <w:t>-functional</w:t>
      </w:r>
      <w:r w:rsidR="00946794">
        <w:rPr>
          <w:sz w:val="20"/>
          <w:szCs w:val="20"/>
        </w:rPr>
        <w:t xml:space="preserve"> side chain</w:t>
      </w:r>
      <w:r w:rsidR="00777194">
        <w:rPr>
          <w:sz w:val="20"/>
          <w:szCs w:val="20"/>
        </w:rPr>
        <w:t xml:space="preserve"> compared to a side chain containing methoxy functional</w:t>
      </w:r>
      <w:r w:rsidR="00946794">
        <w:rPr>
          <w:sz w:val="20"/>
          <w:szCs w:val="20"/>
        </w:rPr>
        <w:t xml:space="preserve"> groups. The latter </w:t>
      </w:r>
      <w:r w:rsidR="00E63A97">
        <w:rPr>
          <w:sz w:val="20"/>
          <w:szCs w:val="20"/>
        </w:rPr>
        <w:t xml:space="preserve">material </w:t>
      </w:r>
      <w:r w:rsidR="00946794">
        <w:rPr>
          <w:sz w:val="20"/>
          <w:szCs w:val="20"/>
        </w:rPr>
        <w:t>was also characterized following the same methodology, providing a more fundamental understanding</w:t>
      </w:r>
      <w:r w:rsidR="005161B6">
        <w:rPr>
          <w:sz w:val="20"/>
          <w:szCs w:val="20"/>
        </w:rPr>
        <w:t xml:space="preserve"> of this new family of polymers</w:t>
      </w:r>
      <w:r w:rsidR="00E63A97">
        <w:rPr>
          <w:sz w:val="20"/>
          <w:szCs w:val="20"/>
        </w:rPr>
        <w:t xml:space="preserve">. </w:t>
      </w:r>
      <w:r w:rsidR="00946794">
        <w:rPr>
          <w:sz w:val="20"/>
          <w:szCs w:val="20"/>
        </w:rPr>
        <w:t>This design strategy of</w:t>
      </w:r>
      <w:r w:rsidR="00777194">
        <w:rPr>
          <w:sz w:val="20"/>
          <w:szCs w:val="20"/>
        </w:rPr>
        <w:t xml:space="preserve"> combining</w:t>
      </w:r>
      <w:r w:rsidR="00946794">
        <w:rPr>
          <w:sz w:val="20"/>
          <w:szCs w:val="20"/>
        </w:rPr>
        <w:t xml:space="preserve"> </w:t>
      </w:r>
      <w:r w:rsidR="00777194">
        <w:rPr>
          <w:sz w:val="20"/>
          <w:szCs w:val="20"/>
        </w:rPr>
        <w:t xml:space="preserve">a </w:t>
      </w:r>
      <w:r w:rsidR="00946794">
        <w:rPr>
          <w:sz w:val="20"/>
          <w:szCs w:val="20"/>
        </w:rPr>
        <w:t xml:space="preserve">flexible backbone </w:t>
      </w:r>
      <w:r w:rsidR="00777194">
        <w:rPr>
          <w:sz w:val="20"/>
          <w:szCs w:val="20"/>
        </w:rPr>
        <w:t xml:space="preserve">with </w:t>
      </w:r>
      <w:r w:rsidR="0008657E" w:rsidRPr="005F727F">
        <w:rPr>
          <w:sz w:val="20"/>
          <w:szCs w:val="20"/>
        </w:rPr>
        <w:t>ri</w:t>
      </w:r>
      <w:r w:rsidR="00946794">
        <w:rPr>
          <w:sz w:val="20"/>
          <w:szCs w:val="20"/>
        </w:rPr>
        <w:t>gid side chains</w:t>
      </w:r>
      <w:r w:rsidR="0008657E" w:rsidRPr="005F727F">
        <w:rPr>
          <w:sz w:val="20"/>
          <w:szCs w:val="20"/>
        </w:rPr>
        <w:t xml:space="preserve"> opens a </w:t>
      </w:r>
      <w:r w:rsidR="005161B6">
        <w:rPr>
          <w:sz w:val="20"/>
          <w:szCs w:val="20"/>
        </w:rPr>
        <w:t>new</w:t>
      </w:r>
      <w:r w:rsidR="0008657E" w:rsidRPr="005F727F">
        <w:rPr>
          <w:sz w:val="20"/>
          <w:szCs w:val="20"/>
        </w:rPr>
        <w:t xml:space="preserve"> </w:t>
      </w:r>
      <w:r w:rsidR="005161B6">
        <w:rPr>
          <w:sz w:val="20"/>
          <w:szCs w:val="20"/>
        </w:rPr>
        <w:t>route</w:t>
      </w:r>
      <w:r w:rsidR="0008657E" w:rsidRPr="005F727F">
        <w:rPr>
          <w:sz w:val="20"/>
          <w:szCs w:val="20"/>
        </w:rPr>
        <w:t xml:space="preserve"> for the </w:t>
      </w:r>
      <w:r w:rsidR="00F5720F">
        <w:rPr>
          <w:sz w:val="20"/>
          <w:szCs w:val="20"/>
        </w:rPr>
        <w:t>preparation</w:t>
      </w:r>
      <w:r w:rsidR="005161B6">
        <w:rPr>
          <w:sz w:val="20"/>
          <w:szCs w:val="20"/>
        </w:rPr>
        <w:t xml:space="preserve"> </w:t>
      </w:r>
      <w:r w:rsidR="00E63A97">
        <w:rPr>
          <w:sz w:val="20"/>
          <w:szCs w:val="20"/>
        </w:rPr>
        <w:t xml:space="preserve">of </w:t>
      </w:r>
      <w:r w:rsidR="0008657E" w:rsidRPr="005F727F">
        <w:rPr>
          <w:sz w:val="20"/>
          <w:szCs w:val="20"/>
        </w:rPr>
        <w:t xml:space="preserve">high-performance </w:t>
      </w:r>
      <w:r w:rsidR="00777194">
        <w:rPr>
          <w:sz w:val="20"/>
          <w:szCs w:val="20"/>
        </w:rPr>
        <w:t xml:space="preserve">microporous </w:t>
      </w:r>
      <w:r w:rsidR="0008657E" w:rsidRPr="005F727F">
        <w:rPr>
          <w:sz w:val="20"/>
          <w:szCs w:val="20"/>
        </w:rPr>
        <w:t>pol</w:t>
      </w:r>
      <w:r w:rsidR="005161B6">
        <w:rPr>
          <w:sz w:val="20"/>
          <w:szCs w:val="20"/>
        </w:rPr>
        <w:t>ymer systems for gas separation</w:t>
      </w:r>
      <w:r w:rsidR="00777194">
        <w:rPr>
          <w:sz w:val="20"/>
          <w:szCs w:val="20"/>
        </w:rPr>
        <w:t>s</w:t>
      </w:r>
      <w:r w:rsidR="0008657E" w:rsidRPr="005F727F">
        <w:rPr>
          <w:sz w:val="20"/>
          <w:szCs w:val="20"/>
        </w:rPr>
        <w:t>.</w:t>
      </w:r>
    </w:p>
    <w:p w14:paraId="25AC59DC" w14:textId="77777777" w:rsidR="00F3297E" w:rsidRPr="00C205CE" w:rsidRDefault="00C205CE" w:rsidP="00C205CE">
      <w:pPr>
        <w:rPr>
          <w:sz w:val="18"/>
          <w:szCs w:val="18"/>
        </w:rPr>
      </w:pPr>
      <w:r>
        <w:rPr>
          <w:sz w:val="18"/>
          <w:szCs w:val="18"/>
        </w:rPr>
        <w:lastRenderedPageBreak/>
        <w:t>[1] Y. Zhao, Y. He and T. M. Swager; Porous organic polymers via ring opening metathesis polymerization, ACS Macro Lett. 2018, 7, 300-304.</w:t>
      </w:r>
    </w:p>
    <w:sectPr w:rsidR="00F3297E" w:rsidRPr="00C205CE" w:rsidSect="00592180">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yriad Pro Light">
    <w:altName w:val="Calibri"/>
    <w:panose1 w:val="020B0604020202020204"/>
    <w:charset w:val="00"/>
    <w:family w:val="swiss"/>
    <w:pitch w:val="variable"/>
    <w:sig w:usb0="20000287" w:usb1="00000001" w:usb2="00000000" w:usb3="00000000" w:csb0="0000019F" w:csb1="00000000"/>
  </w:font>
  <w:font w:name="Arno Pro">
    <w:altName w:val="Constantia"/>
    <w:panose1 w:val="020B0604020202020204"/>
    <w:charset w:val="00"/>
    <w:family w:val="roman"/>
    <w:pitch w:val="variable"/>
    <w:sig w:usb0="60000287" w:usb1="00000001" w:usb2="00000000" w:usb3="00000000" w:csb0="0000019F" w:csb1="00000000"/>
  </w:font>
  <w:font w:name="Segoe UI">
    <w:altName w:val="Arial"/>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727F"/>
    <w:rsid w:val="0008657E"/>
    <w:rsid w:val="0014640E"/>
    <w:rsid w:val="001B0A5D"/>
    <w:rsid w:val="001D2FEC"/>
    <w:rsid w:val="00204CD5"/>
    <w:rsid w:val="00332CDA"/>
    <w:rsid w:val="00395B3A"/>
    <w:rsid w:val="003A00E5"/>
    <w:rsid w:val="003C1E21"/>
    <w:rsid w:val="00446D33"/>
    <w:rsid w:val="005161B6"/>
    <w:rsid w:val="00550F97"/>
    <w:rsid w:val="00557544"/>
    <w:rsid w:val="00584EA6"/>
    <w:rsid w:val="00592180"/>
    <w:rsid w:val="005F727F"/>
    <w:rsid w:val="0064126B"/>
    <w:rsid w:val="006C59B9"/>
    <w:rsid w:val="006E0082"/>
    <w:rsid w:val="00777194"/>
    <w:rsid w:val="007D18FE"/>
    <w:rsid w:val="007D2B00"/>
    <w:rsid w:val="008078B1"/>
    <w:rsid w:val="008C12AC"/>
    <w:rsid w:val="00946794"/>
    <w:rsid w:val="009A1336"/>
    <w:rsid w:val="009D2705"/>
    <w:rsid w:val="009D3EEF"/>
    <w:rsid w:val="00AB183F"/>
    <w:rsid w:val="00AC78AD"/>
    <w:rsid w:val="00C205CE"/>
    <w:rsid w:val="00C230B6"/>
    <w:rsid w:val="00C300EE"/>
    <w:rsid w:val="00C64331"/>
    <w:rsid w:val="00CE1605"/>
    <w:rsid w:val="00DD2821"/>
    <w:rsid w:val="00E63A97"/>
    <w:rsid w:val="00E66C27"/>
    <w:rsid w:val="00EB32EA"/>
    <w:rsid w:val="00F3297E"/>
    <w:rsid w:val="00F5720F"/>
    <w:rsid w:val="00FF0F1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C04F8"/>
  <w15:chartTrackingRefBased/>
  <w15:docId w15:val="{2394929E-8B1A-7741-9363-0833D1C32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3297E"/>
    <w:pPr>
      <w:spacing w:before="240" w:after="120" w:line="360" w:lineRule="auto"/>
      <w:jc w:val="both"/>
    </w:pPr>
    <w:rPr>
      <w:rFonts w:ascii="Palatino Linotype" w:hAnsi="Palatino Linotype"/>
      <w:lang w:val="en-US"/>
    </w:rPr>
  </w:style>
  <w:style w:type="paragraph" w:styleId="Heading1">
    <w:name w:val="heading 1"/>
    <w:basedOn w:val="Normal"/>
    <w:next w:val="Normal"/>
    <w:link w:val="Heading1Char"/>
    <w:uiPriority w:val="9"/>
    <w:qFormat/>
    <w:rsid w:val="00F3297E"/>
    <w:pPr>
      <w:keepNext/>
      <w:keepLines/>
      <w:jc w:val="left"/>
      <w:outlineLvl w:val="0"/>
    </w:pPr>
    <w:rPr>
      <w:rFonts w:eastAsiaTheme="majorEastAsia" w:cstheme="majorBidi"/>
      <w:b/>
      <w:color w:val="000000" w:themeColor="text1"/>
      <w:sz w:val="32"/>
      <w:szCs w:val="32"/>
    </w:rPr>
  </w:style>
  <w:style w:type="paragraph" w:styleId="Heading2">
    <w:name w:val="heading 2"/>
    <w:basedOn w:val="Normal"/>
    <w:next w:val="Normal"/>
    <w:link w:val="Heading2Char"/>
    <w:uiPriority w:val="9"/>
    <w:unhideWhenUsed/>
    <w:qFormat/>
    <w:rsid w:val="00F3297E"/>
    <w:pPr>
      <w:keepNext/>
      <w:keepLines/>
      <w:jc w:val="left"/>
      <w:outlineLvl w:val="1"/>
    </w:pPr>
    <w:rPr>
      <w:rFonts w:eastAsiaTheme="majorEastAsia" w:cstheme="majorBidi"/>
      <w:b/>
      <w:color w:val="000000" w:themeColor="text1"/>
      <w:sz w:val="26"/>
      <w:szCs w:val="26"/>
    </w:rPr>
  </w:style>
  <w:style w:type="paragraph" w:styleId="Heading3">
    <w:name w:val="heading 3"/>
    <w:basedOn w:val="Normal"/>
    <w:next w:val="Normal"/>
    <w:link w:val="Heading3Char"/>
    <w:uiPriority w:val="9"/>
    <w:unhideWhenUsed/>
    <w:qFormat/>
    <w:rsid w:val="00F3297E"/>
    <w:pPr>
      <w:keepNext/>
      <w:keepLines/>
      <w:jc w:val="left"/>
      <w:outlineLvl w:val="2"/>
    </w:pPr>
    <w:rPr>
      <w:rFonts w:eastAsiaTheme="majorEastAsia" w:cstheme="majorBidi"/>
      <w:b/>
      <w:color w:val="000000" w:themeColor="text1"/>
    </w:rPr>
  </w:style>
  <w:style w:type="paragraph" w:styleId="Heading4">
    <w:name w:val="heading 4"/>
    <w:basedOn w:val="Normal"/>
    <w:next w:val="Normal"/>
    <w:link w:val="Heading4Char"/>
    <w:uiPriority w:val="9"/>
    <w:semiHidden/>
    <w:unhideWhenUsed/>
    <w:qFormat/>
    <w:rsid w:val="00F3297E"/>
    <w:pPr>
      <w:keepNext/>
      <w:keepLines/>
      <w:jc w:val="left"/>
      <w:outlineLvl w:val="3"/>
    </w:pPr>
    <w:rPr>
      <w:rFonts w:eastAsiaTheme="majorEastAsia" w:cstheme="majorBidi"/>
      <w:b/>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297E"/>
    <w:rPr>
      <w:rFonts w:ascii="Palatino Linotype" w:eastAsiaTheme="majorEastAsia" w:hAnsi="Palatino Linotype" w:cstheme="majorBidi"/>
      <w:b/>
      <w:color w:val="000000" w:themeColor="text1"/>
      <w:sz w:val="32"/>
      <w:szCs w:val="32"/>
    </w:rPr>
  </w:style>
  <w:style w:type="character" w:customStyle="1" w:styleId="Heading2Char">
    <w:name w:val="Heading 2 Char"/>
    <w:basedOn w:val="DefaultParagraphFont"/>
    <w:link w:val="Heading2"/>
    <w:uiPriority w:val="9"/>
    <w:rsid w:val="00F3297E"/>
    <w:rPr>
      <w:rFonts w:ascii="Palatino Linotype" w:eastAsiaTheme="majorEastAsia" w:hAnsi="Palatino Linotype" w:cstheme="majorBidi"/>
      <w:b/>
      <w:color w:val="000000" w:themeColor="text1"/>
      <w:sz w:val="26"/>
      <w:szCs w:val="26"/>
    </w:rPr>
  </w:style>
  <w:style w:type="character" w:customStyle="1" w:styleId="Heading3Char">
    <w:name w:val="Heading 3 Char"/>
    <w:basedOn w:val="DefaultParagraphFont"/>
    <w:link w:val="Heading3"/>
    <w:uiPriority w:val="9"/>
    <w:rsid w:val="00F3297E"/>
    <w:rPr>
      <w:rFonts w:ascii="Palatino Linotype" w:eastAsiaTheme="majorEastAsia" w:hAnsi="Palatino Linotype" w:cstheme="majorBidi"/>
      <w:b/>
      <w:color w:val="000000" w:themeColor="text1"/>
    </w:rPr>
  </w:style>
  <w:style w:type="paragraph" w:styleId="Title">
    <w:name w:val="Title"/>
    <w:basedOn w:val="Normal"/>
    <w:next w:val="Normal"/>
    <w:link w:val="TitleChar"/>
    <w:uiPriority w:val="10"/>
    <w:qFormat/>
    <w:rsid w:val="00F3297E"/>
    <w:pPr>
      <w:contextualSpacing/>
      <w:jc w:val="center"/>
    </w:pPr>
    <w:rPr>
      <w:rFonts w:eastAsiaTheme="majorEastAsia" w:cstheme="majorBidi"/>
      <w:b/>
      <w:spacing w:val="-10"/>
      <w:kern w:val="28"/>
      <w:sz w:val="40"/>
      <w:szCs w:val="56"/>
    </w:rPr>
  </w:style>
  <w:style w:type="character" w:customStyle="1" w:styleId="TitleChar">
    <w:name w:val="Title Char"/>
    <w:basedOn w:val="DefaultParagraphFont"/>
    <w:link w:val="Title"/>
    <w:uiPriority w:val="10"/>
    <w:rsid w:val="00F3297E"/>
    <w:rPr>
      <w:rFonts w:ascii="Palatino Linotype" w:eastAsiaTheme="majorEastAsia" w:hAnsi="Palatino Linotype" w:cstheme="majorBidi"/>
      <w:b/>
      <w:spacing w:val="-10"/>
      <w:kern w:val="28"/>
      <w:sz w:val="40"/>
      <w:szCs w:val="56"/>
    </w:rPr>
  </w:style>
  <w:style w:type="character" w:customStyle="1" w:styleId="Heading4Char">
    <w:name w:val="Heading 4 Char"/>
    <w:basedOn w:val="DefaultParagraphFont"/>
    <w:link w:val="Heading4"/>
    <w:uiPriority w:val="9"/>
    <w:semiHidden/>
    <w:rsid w:val="00F3297E"/>
    <w:rPr>
      <w:rFonts w:ascii="Palatino Linotype" w:eastAsiaTheme="majorEastAsia" w:hAnsi="Palatino Linotype" w:cstheme="majorBidi"/>
      <w:b/>
      <w:iCs/>
      <w:color w:val="000000" w:themeColor="text1"/>
    </w:rPr>
  </w:style>
  <w:style w:type="paragraph" w:styleId="Caption">
    <w:name w:val="caption"/>
    <w:basedOn w:val="Normal"/>
    <w:next w:val="Normal"/>
    <w:uiPriority w:val="35"/>
    <w:unhideWhenUsed/>
    <w:qFormat/>
    <w:rsid w:val="00557544"/>
    <w:pPr>
      <w:spacing w:before="0" w:after="200" w:line="240" w:lineRule="auto"/>
    </w:pPr>
    <w:rPr>
      <w:i/>
      <w:iCs/>
      <w:color w:val="44546A" w:themeColor="text2"/>
      <w:sz w:val="18"/>
      <w:szCs w:val="18"/>
    </w:rPr>
  </w:style>
  <w:style w:type="character" w:customStyle="1" w:styleId="apple-converted-space">
    <w:name w:val="apple-converted-space"/>
    <w:basedOn w:val="DefaultParagraphFont"/>
    <w:rsid w:val="005F727F"/>
  </w:style>
  <w:style w:type="paragraph" w:customStyle="1" w:styleId="BATitle">
    <w:name w:val="BA_Title"/>
    <w:basedOn w:val="Normal"/>
    <w:next w:val="Normal"/>
    <w:autoRedefine/>
    <w:rsid w:val="005F727F"/>
    <w:pPr>
      <w:spacing w:line="276" w:lineRule="auto"/>
      <w:jc w:val="center"/>
    </w:pPr>
    <w:rPr>
      <w:rFonts w:ascii="Myriad Pro Light" w:eastAsiaTheme="minorEastAsia" w:hAnsi="Myriad Pro Light" w:cs="Times New Roman"/>
      <w:b/>
      <w:kern w:val="36"/>
      <w:sz w:val="34"/>
      <w:szCs w:val="20"/>
    </w:rPr>
  </w:style>
  <w:style w:type="character" w:styleId="SubtleEmphasis">
    <w:name w:val="Subtle Emphasis"/>
    <w:basedOn w:val="DefaultParagraphFont"/>
    <w:uiPriority w:val="19"/>
    <w:qFormat/>
    <w:rsid w:val="005F727F"/>
    <w:rPr>
      <w:i/>
      <w:iCs/>
      <w:color w:val="404040" w:themeColor="text1" w:themeTint="BF"/>
    </w:rPr>
  </w:style>
  <w:style w:type="paragraph" w:customStyle="1" w:styleId="BBAuthorName">
    <w:name w:val="BB_Author_Name"/>
    <w:basedOn w:val="Normal"/>
    <w:next w:val="Normal"/>
    <w:autoRedefine/>
    <w:rsid w:val="005F727F"/>
    <w:pPr>
      <w:spacing w:before="0" w:after="180" w:line="240" w:lineRule="auto"/>
      <w:jc w:val="left"/>
    </w:pPr>
    <w:rPr>
      <w:rFonts w:ascii="Arno Pro" w:eastAsiaTheme="minorEastAsia" w:hAnsi="Arno Pro" w:cs="Times New Roman"/>
      <w:kern w:val="26"/>
      <w:szCs w:val="20"/>
    </w:rPr>
  </w:style>
  <w:style w:type="character" w:customStyle="1" w:styleId="xbe">
    <w:name w:val="_xbe"/>
    <w:basedOn w:val="DefaultParagraphFont"/>
    <w:rsid w:val="00332CDA"/>
  </w:style>
  <w:style w:type="table" w:styleId="TableGrid">
    <w:name w:val="Table Grid"/>
    <w:basedOn w:val="TableNormal"/>
    <w:uiPriority w:val="39"/>
    <w:rsid w:val="00C300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C12AC"/>
    <w:rPr>
      <w:sz w:val="16"/>
      <w:szCs w:val="16"/>
    </w:rPr>
  </w:style>
  <w:style w:type="paragraph" w:styleId="CommentText">
    <w:name w:val="annotation text"/>
    <w:basedOn w:val="Normal"/>
    <w:link w:val="CommentTextChar"/>
    <w:uiPriority w:val="99"/>
    <w:semiHidden/>
    <w:unhideWhenUsed/>
    <w:rsid w:val="008C12AC"/>
    <w:pPr>
      <w:spacing w:line="240" w:lineRule="auto"/>
    </w:pPr>
    <w:rPr>
      <w:sz w:val="20"/>
      <w:szCs w:val="20"/>
    </w:rPr>
  </w:style>
  <w:style w:type="character" w:customStyle="1" w:styleId="CommentTextChar">
    <w:name w:val="Comment Text Char"/>
    <w:basedOn w:val="DefaultParagraphFont"/>
    <w:link w:val="CommentText"/>
    <w:uiPriority w:val="99"/>
    <w:semiHidden/>
    <w:rsid w:val="008C12AC"/>
    <w:rPr>
      <w:rFonts w:ascii="Palatino Linotype" w:hAnsi="Palatino Linotype"/>
      <w:sz w:val="20"/>
      <w:szCs w:val="20"/>
      <w:lang w:val="en-US"/>
    </w:rPr>
  </w:style>
  <w:style w:type="paragraph" w:styleId="CommentSubject">
    <w:name w:val="annotation subject"/>
    <w:basedOn w:val="CommentText"/>
    <w:next w:val="CommentText"/>
    <w:link w:val="CommentSubjectChar"/>
    <w:uiPriority w:val="99"/>
    <w:semiHidden/>
    <w:unhideWhenUsed/>
    <w:rsid w:val="008C12AC"/>
    <w:rPr>
      <w:b/>
      <w:bCs/>
    </w:rPr>
  </w:style>
  <w:style w:type="character" w:customStyle="1" w:styleId="CommentSubjectChar">
    <w:name w:val="Comment Subject Char"/>
    <w:basedOn w:val="CommentTextChar"/>
    <w:link w:val="CommentSubject"/>
    <w:uiPriority w:val="99"/>
    <w:semiHidden/>
    <w:rsid w:val="008C12AC"/>
    <w:rPr>
      <w:rFonts w:ascii="Palatino Linotype" w:hAnsi="Palatino Linotype"/>
      <w:b/>
      <w:bCs/>
      <w:sz w:val="20"/>
      <w:szCs w:val="20"/>
      <w:lang w:val="en-US"/>
    </w:rPr>
  </w:style>
  <w:style w:type="paragraph" w:styleId="BalloonText">
    <w:name w:val="Balloon Text"/>
    <w:basedOn w:val="Normal"/>
    <w:link w:val="BalloonTextChar"/>
    <w:uiPriority w:val="99"/>
    <w:semiHidden/>
    <w:unhideWhenUsed/>
    <w:rsid w:val="008C12AC"/>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12AC"/>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46689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509124AB-F2B7-034D-AB6D-9715B09036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2</Pages>
  <Words>442</Words>
  <Characters>2522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 Maria Benedetti</dc:creator>
  <cp:keywords/>
  <dc:description/>
  <cp:lastModifiedBy>Francesco Maria Benedetti</cp:lastModifiedBy>
  <cp:revision>8</cp:revision>
  <dcterms:created xsi:type="dcterms:W3CDTF">2018-04-16T01:45:00Z</dcterms:created>
  <dcterms:modified xsi:type="dcterms:W3CDTF">2018-04-16T03:29:00Z</dcterms:modified>
</cp:coreProperties>
</file>